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913" w:rsidRPr="00062993" w:rsidRDefault="00F31913"/>
    <w:p w:rsidR="00062993" w:rsidRPr="00062993" w:rsidRDefault="00062993" w:rsidP="00062993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</w:pPr>
      <w:r w:rsidRPr="00062993"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  <w:t>Введение</w:t>
      </w:r>
    </w:p>
    <w:p w:rsidR="00062993" w:rsidRPr="00062993" w:rsidRDefault="00062993" w:rsidP="00062993">
      <w:pPr>
        <w:shd w:val="clear" w:color="auto" w:fill="F8F8FF"/>
        <w:spacing w:before="100" w:beforeAutospacing="1" w:after="100" w:afterAutospacing="1" w:line="240" w:lineRule="auto"/>
        <w:ind w:left="150" w:right="300" w:firstLine="567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062993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Паровой или водогрейный котел</w:t>
      </w:r>
      <w:r w:rsidRPr="00062993">
        <w:rPr>
          <w:rFonts w:ascii="Arial" w:eastAsia="Times New Roman" w:hAnsi="Arial" w:cs="Arial"/>
          <w:sz w:val="21"/>
          <w:szCs w:val="21"/>
          <w:lang w:eastAsia="ru-RU"/>
        </w:rPr>
        <w:t> - устройство, в котором для получения пара или нагрева воды под давлением выше атмосферного используется теплота, выделяющаяся при сгорании органического топлива.</w:t>
      </w:r>
    </w:p>
    <w:p w:rsidR="00062993" w:rsidRPr="00062993" w:rsidRDefault="00062993" w:rsidP="0006299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062993">
        <w:rPr>
          <w:rFonts w:ascii="Arial" w:eastAsia="Times New Roman" w:hAnsi="Arial" w:cs="Arial"/>
          <w:sz w:val="21"/>
          <w:szCs w:val="21"/>
          <w:lang w:eastAsia="ru-RU"/>
        </w:rPr>
        <w:t xml:space="preserve">Поверочный расчет парового котла выполняется для оценки показателей экономичности, выбора вспомогательного оборудования, получения исходных данных для последующих расчетов: аэродинамических, гидравлических, прочностных. При выполнении поверочного расчета парового котла его </w:t>
      </w:r>
      <w:proofErr w:type="spellStart"/>
      <w:r w:rsidRPr="00062993">
        <w:rPr>
          <w:rFonts w:ascii="Arial" w:eastAsia="Times New Roman" w:hAnsi="Arial" w:cs="Arial"/>
          <w:sz w:val="21"/>
          <w:szCs w:val="21"/>
          <w:lang w:eastAsia="ru-RU"/>
        </w:rPr>
        <w:t>паропроизводительность</w:t>
      </w:r>
      <w:proofErr w:type="spellEnd"/>
      <w:r w:rsidRPr="00062993">
        <w:rPr>
          <w:rFonts w:ascii="Arial" w:eastAsia="Times New Roman" w:hAnsi="Arial" w:cs="Arial"/>
          <w:sz w:val="21"/>
          <w:szCs w:val="21"/>
          <w:lang w:eastAsia="ru-RU"/>
        </w:rPr>
        <w:t xml:space="preserve">, параметры пара и питательной воды являются заданными. Поэтому цель расчета состоит в определении температур газовой среды и тепловосприятий рабочего тела в поверхностях нагрева заданного котла. </w:t>
      </w:r>
      <w:proofErr w:type="spellStart"/>
      <w:r w:rsidRPr="00062993">
        <w:rPr>
          <w:rFonts w:ascii="Arial" w:eastAsia="Times New Roman" w:hAnsi="Arial" w:cs="Arial"/>
          <w:sz w:val="21"/>
          <w:szCs w:val="21"/>
          <w:lang w:eastAsia="ru-RU"/>
        </w:rPr>
        <w:t>Газомазутные</w:t>
      </w:r>
      <w:proofErr w:type="spellEnd"/>
      <w:r w:rsidRPr="00062993">
        <w:rPr>
          <w:rFonts w:ascii="Arial" w:eastAsia="Times New Roman" w:hAnsi="Arial" w:cs="Arial"/>
          <w:sz w:val="21"/>
          <w:szCs w:val="21"/>
          <w:lang w:eastAsia="ru-RU"/>
        </w:rPr>
        <w:t xml:space="preserve"> вертикально-водотрубные паровые котлы типа Е (ДЕ) </w:t>
      </w:r>
      <w:proofErr w:type="spellStart"/>
      <w:r w:rsidRPr="00062993">
        <w:rPr>
          <w:rFonts w:ascii="Arial" w:eastAsia="Times New Roman" w:hAnsi="Arial" w:cs="Arial"/>
          <w:sz w:val="21"/>
          <w:szCs w:val="21"/>
          <w:lang w:eastAsia="ru-RU"/>
        </w:rPr>
        <w:t>паропроизводительностью</w:t>
      </w:r>
      <w:proofErr w:type="spellEnd"/>
      <w:r w:rsidRPr="00062993">
        <w:rPr>
          <w:rFonts w:ascii="Arial" w:eastAsia="Times New Roman" w:hAnsi="Arial" w:cs="Arial"/>
          <w:sz w:val="21"/>
          <w:szCs w:val="21"/>
          <w:lang w:eastAsia="ru-RU"/>
        </w:rPr>
        <w:t xml:space="preserve"> 4; 6,5; 10; 16 и 25 т/ч предназначены для выработки насыщенного или </w:t>
      </w:r>
      <w:proofErr w:type="spellStart"/>
      <w:r w:rsidRPr="00062993">
        <w:rPr>
          <w:rFonts w:ascii="Arial" w:eastAsia="Times New Roman" w:hAnsi="Arial" w:cs="Arial"/>
          <w:sz w:val="21"/>
          <w:szCs w:val="21"/>
          <w:lang w:eastAsia="ru-RU"/>
        </w:rPr>
        <w:t>слабоперегретого</w:t>
      </w:r>
      <w:proofErr w:type="spellEnd"/>
      <w:r w:rsidRPr="00062993">
        <w:rPr>
          <w:rFonts w:ascii="Arial" w:eastAsia="Times New Roman" w:hAnsi="Arial" w:cs="Arial"/>
          <w:sz w:val="21"/>
          <w:szCs w:val="21"/>
          <w:lang w:eastAsia="ru-RU"/>
        </w:rPr>
        <w:t xml:space="preserve"> пара давлением 1,4 МПа. Топочная камера котлов размещена сбоку от конвективного пучка, образованного вертикальными трубами, развальцованными в верхнем и нижнем барабанах. Ширина топочной камеры по осям боковых экранов труб одинакова для всех котлов – 1790 мм, глубина топочной камеры изменяется в зависимости от номинальной </w:t>
      </w:r>
      <w:proofErr w:type="spellStart"/>
      <w:r w:rsidRPr="00062993">
        <w:rPr>
          <w:rFonts w:ascii="Arial" w:eastAsia="Times New Roman" w:hAnsi="Arial" w:cs="Arial"/>
          <w:sz w:val="21"/>
          <w:szCs w:val="21"/>
          <w:lang w:eastAsia="ru-RU"/>
        </w:rPr>
        <w:t>паропроизводительности</w:t>
      </w:r>
      <w:proofErr w:type="spellEnd"/>
      <w:r w:rsidRPr="00062993">
        <w:rPr>
          <w:rFonts w:ascii="Arial" w:eastAsia="Times New Roman" w:hAnsi="Arial" w:cs="Arial"/>
          <w:sz w:val="21"/>
          <w:szCs w:val="21"/>
          <w:lang w:eastAsia="ru-RU"/>
        </w:rPr>
        <w:t xml:space="preserve"> котла. Основными составными частями этих котлов являются: верхний и нижний барабаны, конвективный пучок, фронтальный, боковой и задний экраны, образующие топочную камеру. Трубы перегородки и правого бокового экрана, образующего также под и потолок топочной камеры, вводятся непосредственно в верхний и нижний барабаны. Концы труб заднего экрана приварены к верхнему и нижнему коллекторам диаметром 159×6 мм. Трубы фронтального экрана котлов </w:t>
      </w:r>
      <w:proofErr w:type="spellStart"/>
      <w:r w:rsidRPr="00062993">
        <w:rPr>
          <w:rFonts w:ascii="Arial" w:eastAsia="Times New Roman" w:hAnsi="Arial" w:cs="Arial"/>
          <w:sz w:val="21"/>
          <w:szCs w:val="21"/>
          <w:lang w:eastAsia="ru-RU"/>
        </w:rPr>
        <w:t>паропроизводительностью</w:t>
      </w:r>
      <w:proofErr w:type="spellEnd"/>
      <w:r w:rsidRPr="00062993">
        <w:rPr>
          <w:rFonts w:ascii="Arial" w:eastAsia="Times New Roman" w:hAnsi="Arial" w:cs="Arial"/>
          <w:sz w:val="21"/>
          <w:szCs w:val="21"/>
          <w:lang w:eastAsia="ru-RU"/>
        </w:rPr>
        <w:t xml:space="preserve"> 4; 6,5 и 10 т/ч приварены к коллекторам диаметром 159×6 мм, а на котлах </w:t>
      </w:r>
      <w:proofErr w:type="spellStart"/>
      <w:r w:rsidRPr="00062993">
        <w:rPr>
          <w:rFonts w:ascii="Arial" w:eastAsia="Times New Roman" w:hAnsi="Arial" w:cs="Arial"/>
          <w:sz w:val="21"/>
          <w:szCs w:val="21"/>
          <w:lang w:eastAsia="ru-RU"/>
        </w:rPr>
        <w:t>паропроизводительностью</w:t>
      </w:r>
      <w:proofErr w:type="spellEnd"/>
      <w:r w:rsidRPr="00062993">
        <w:rPr>
          <w:rFonts w:ascii="Arial" w:eastAsia="Times New Roman" w:hAnsi="Arial" w:cs="Arial"/>
          <w:sz w:val="21"/>
          <w:szCs w:val="21"/>
          <w:lang w:eastAsia="ru-RU"/>
        </w:rPr>
        <w:t xml:space="preserve"> 16 и 25 т/ч они развальцованы в верхнем и нижнем барабанах. Шаг труб вдоль барабана 90 мм, поперечный – 110 мм (за исключением среднего, равного 120 мм). Для поддержания необходимого уровня скоростей газов в конвективных пучках котлов производительностью 4; 6,5 и 10 т/ч установлены продольные ступенчатые перегородки.</w:t>
      </w:r>
    </w:p>
    <w:p w:rsidR="00062993" w:rsidRPr="00062993" w:rsidRDefault="00062993" w:rsidP="0006299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062993">
        <w:rPr>
          <w:rFonts w:ascii="Arial" w:eastAsia="Times New Roman" w:hAnsi="Arial" w:cs="Arial"/>
          <w:sz w:val="21"/>
          <w:szCs w:val="21"/>
          <w:lang w:eastAsia="ru-RU"/>
        </w:rPr>
        <w:t xml:space="preserve">В котле ДЕ–25–14 ГМ для обеспечения надёжной циркуляции в кипятильных трубках котельного пучка верхний и нижний барабаны соединены между собой опускными трубами размером Ø 159×4,5, число которых с ростом производительности котла увеличивают от 1 до 4. Ограждающие поверхности котлов ДЕ </w:t>
      </w:r>
      <w:proofErr w:type="gramStart"/>
      <w:r w:rsidRPr="00062993">
        <w:rPr>
          <w:rFonts w:ascii="Arial" w:eastAsia="Times New Roman" w:hAnsi="Arial" w:cs="Arial"/>
          <w:sz w:val="21"/>
          <w:szCs w:val="21"/>
          <w:lang w:eastAsia="ru-RU"/>
        </w:rPr>
        <w:t>на жидком</w:t>
      </w:r>
      <w:proofErr w:type="gramEnd"/>
      <w:r w:rsidRPr="00062993">
        <w:rPr>
          <w:rFonts w:ascii="Arial" w:eastAsia="Times New Roman" w:hAnsi="Arial" w:cs="Arial"/>
          <w:sz w:val="21"/>
          <w:szCs w:val="21"/>
          <w:lang w:eastAsia="ru-RU"/>
        </w:rPr>
        <w:t xml:space="preserve"> и газообразном топливе выполнены из труб с относительным шагом </w:t>
      </w:r>
      <w:r w:rsidRPr="00062993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s/d</w:t>
      </w:r>
      <w:r w:rsidRPr="00062993">
        <w:rPr>
          <w:rFonts w:ascii="Arial" w:eastAsia="Times New Roman" w:hAnsi="Arial" w:cs="Arial"/>
          <w:sz w:val="21"/>
          <w:szCs w:val="21"/>
          <w:lang w:eastAsia="ru-RU"/>
        </w:rPr>
        <w:t> = 1,03 ÷ 1,08, что позволяет применять облегчённую изоляцию.</w:t>
      </w:r>
    </w:p>
    <w:p w:rsidR="00062993" w:rsidRPr="00062993" w:rsidRDefault="00062993" w:rsidP="0006299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062993">
        <w:rPr>
          <w:rFonts w:ascii="Arial" w:eastAsia="Times New Roman" w:hAnsi="Arial" w:cs="Arial"/>
          <w:sz w:val="21"/>
          <w:szCs w:val="21"/>
          <w:lang w:eastAsia="ru-RU"/>
        </w:rPr>
        <w:t>Котлы серии ДЕ имеет высокую степень заводской готовности, что повышает эффективность их монтажа.</w:t>
      </w:r>
    </w:p>
    <w:p w:rsidR="00062993" w:rsidRPr="00062993" w:rsidRDefault="00062993" w:rsidP="0006299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062993">
        <w:rPr>
          <w:rFonts w:ascii="Arial" w:eastAsia="Times New Roman" w:hAnsi="Arial" w:cs="Arial"/>
          <w:sz w:val="21"/>
          <w:szCs w:val="21"/>
          <w:lang w:eastAsia="ru-RU"/>
        </w:rPr>
        <w:t>Методические указания составлены на основе </w:t>
      </w:r>
      <w:hyperlink r:id="rId5" w:tgtFrame="_blank" w:history="1">
        <w:r w:rsidRPr="00062993">
          <w:rPr>
            <w:rFonts w:ascii="Arial" w:eastAsia="Times New Roman" w:hAnsi="Arial" w:cs="Arial"/>
            <w:sz w:val="21"/>
            <w:szCs w:val="21"/>
            <w:u w:val="single"/>
            <w:lang w:eastAsia="ru-RU"/>
          </w:rPr>
          <w:t>“Нормативного метода теплового расчёта котельных агрегатов”</w:t>
        </w:r>
      </w:hyperlink>
      <w:r w:rsidRPr="00062993">
        <w:rPr>
          <w:rFonts w:ascii="Arial" w:eastAsia="Times New Roman" w:hAnsi="Arial" w:cs="Arial"/>
          <w:sz w:val="21"/>
          <w:szCs w:val="21"/>
          <w:lang w:eastAsia="ru-RU"/>
        </w:rPr>
        <w:t>, разработанного коллективом авторов ведущих научно – исследовательских институтов (ВТИ и ЦКТИ).</w:t>
      </w:r>
    </w:p>
    <w:p w:rsidR="00062993" w:rsidRPr="00062993" w:rsidRDefault="00062993" w:rsidP="00062993">
      <w:pPr>
        <w:pStyle w:val="1"/>
        <w:shd w:val="clear" w:color="auto" w:fill="1874CD"/>
        <w:spacing w:after="300" w:afterAutospacing="0"/>
        <w:jc w:val="both"/>
        <w:rPr>
          <w:sz w:val="36"/>
          <w:szCs w:val="36"/>
        </w:rPr>
      </w:pPr>
      <w:r w:rsidRPr="00062993">
        <w:rPr>
          <w:sz w:val="36"/>
          <w:szCs w:val="36"/>
        </w:rPr>
        <w:t>Задание на тепловой расчет, порядок его выполнения</w:t>
      </w:r>
    </w:p>
    <w:p w:rsidR="00062993" w:rsidRPr="00062993" w:rsidRDefault="00062993" w:rsidP="00062993">
      <w:pPr>
        <w:pStyle w:val="otstup"/>
        <w:shd w:val="clear" w:color="auto" w:fill="FFFFFF"/>
        <w:ind w:left="150" w:right="150" w:firstLine="567"/>
        <w:jc w:val="both"/>
      </w:pPr>
      <w:r w:rsidRPr="00062993">
        <w:t>Поверочный расчёт парового котла выполняется для существующей конструкции с целью определения показателей её работы при переходе на другое топливо, при изменении нагрузки или параметров пара, а также после проведенной реконструкции поверхностей нагрева.</w:t>
      </w:r>
    </w:p>
    <w:p w:rsidR="00062993" w:rsidRPr="00062993" w:rsidRDefault="00062993" w:rsidP="00062993">
      <w:pPr>
        <w:pStyle w:val="otstup"/>
        <w:shd w:val="clear" w:color="auto" w:fill="FFFFFF"/>
        <w:ind w:left="150" w:right="150" w:firstLine="567"/>
        <w:jc w:val="both"/>
      </w:pPr>
      <w:r w:rsidRPr="00062993">
        <w:t>Задание на поверочный расчёт должно содержать следующие данные:</w:t>
      </w:r>
    </w:p>
    <w:p w:rsidR="00062993" w:rsidRPr="00062993" w:rsidRDefault="00062993" w:rsidP="0006299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</w:pPr>
      <w:r w:rsidRPr="00062993">
        <w:t>тип парового котла;</w:t>
      </w:r>
    </w:p>
    <w:p w:rsidR="00062993" w:rsidRPr="00062993" w:rsidRDefault="00062993" w:rsidP="0006299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</w:pPr>
      <w:r w:rsidRPr="00062993">
        <w:t xml:space="preserve">номинальную </w:t>
      </w:r>
      <w:proofErr w:type="spellStart"/>
      <w:r w:rsidRPr="00062993">
        <w:t>паропроизводительность</w:t>
      </w:r>
      <w:proofErr w:type="spellEnd"/>
      <w:r w:rsidRPr="00062993">
        <w:t xml:space="preserve"> и параметры пара;</w:t>
      </w:r>
    </w:p>
    <w:p w:rsidR="00062993" w:rsidRPr="00062993" w:rsidRDefault="00062993" w:rsidP="0006299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</w:pPr>
      <w:r w:rsidRPr="00062993">
        <w:t>месторождение и марку топлива;</w:t>
      </w:r>
    </w:p>
    <w:p w:rsidR="00062993" w:rsidRPr="00062993" w:rsidRDefault="00062993" w:rsidP="0006299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</w:pPr>
      <w:r w:rsidRPr="00062993">
        <w:t>способ сжигания топлива.</w:t>
      </w:r>
    </w:p>
    <w:p w:rsidR="00062993" w:rsidRPr="00062993" w:rsidRDefault="00062993" w:rsidP="00062993">
      <w:pPr>
        <w:pStyle w:val="otstup"/>
        <w:shd w:val="clear" w:color="auto" w:fill="FFFFFF"/>
        <w:ind w:left="150" w:right="150" w:firstLine="567"/>
        <w:jc w:val="both"/>
      </w:pPr>
      <w:r w:rsidRPr="00062993">
        <w:t xml:space="preserve">В </w:t>
      </w:r>
      <w:proofErr w:type="spellStart"/>
      <w:r w:rsidRPr="00062993">
        <w:t>расчётно</w:t>
      </w:r>
      <w:proofErr w:type="spellEnd"/>
      <w:r w:rsidRPr="00062993">
        <w:t xml:space="preserve"> – пояснительную записку должны быть включены следующие разделы:</w:t>
      </w:r>
    </w:p>
    <w:p w:rsidR="00062993" w:rsidRPr="00062993" w:rsidRDefault="00062993" w:rsidP="0006299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</w:pPr>
      <w:r w:rsidRPr="00062993">
        <w:t>задание;</w:t>
      </w:r>
    </w:p>
    <w:p w:rsidR="00062993" w:rsidRPr="00062993" w:rsidRDefault="00062993" w:rsidP="0006299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</w:pPr>
      <w:r w:rsidRPr="00062993">
        <w:t>описание парового котла, компоновку его поверхностей с указанием их связи по рабочей среде;</w:t>
      </w:r>
    </w:p>
    <w:p w:rsidR="00062993" w:rsidRPr="00062993" w:rsidRDefault="00062993" w:rsidP="0006299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</w:pPr>
      <w:r w:rsidRPr="00062993">
        <w:t>технические характеристики сжигаемого топлива;</w:t>
      </w:r>
    </w:p>
    <w:p w:rsidR="00062993" w:rsidRPr="00062993" w:rsidRDefault="00062993" w:rsidP="0006299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</w:pPr>
      <w:r w:rsidRPr="00062993">
        <w:t>расчёт объёмов и энтальпии воздуха и продуктов сгорания;</w:t>
      </w:r>
    </w:p>
    <w:p w:rsidR="00062993" w:rsidRPr="00062993" w:rsidRDefault="00062993" w:rsidP="0006299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</w:pPr>
      <w:r w:rsidRPr="00062993">
        <w:t>тепловой баланс парового котла, расчёт расхода сжигаемого топлива;</w:t>
      </w:r>
    </w:p>
    <w:p w:rsidR="00062993" w:rsidRPr="00062993" w:rsidRDefault="00062993" w:rsidP="0006299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</w:pPr>
      <w:r w:rsidRPr="00062993">
        <w:t>тепловой расчёт топки и поверхностей нагрева;</w:t>
      </w:r>
    </w:p>
    <w:p w:rsidR="00062993" w:rsidRPr="00062993" w:rsidRDefault="00062993" w:rsidP="0006299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</w:pPr>
      <w:r w:rsidRPr="00062993">
        <w:t>сводную таблицу основных результатов расчёта.</w:t>
      </w:r>
    </w:p>
    <w:p w:rsidR="00062993" w:rsidRPr="00062993" w:rsidRDefault="00062993" w:rsidP="00062993">
      <w:pPr>
        <w:pStyle w:val="otstup"/>
        <w:shd w:val="clear" w:color="auto" w:fill="FFFFFF"/>
        <w:ind w:left="150" w:right="150" w:firstLine="567"/>
        <w:jc w:val="both"/>
      </w:pPr>
      <w:r w:rsidRPr="00062993">
        <w:t>Объём пояснительной записки – 15 – 20 страниц.</w:t>
      </w:r>
    </w:p>
    <w:p w:rsidR="00062993" w:rsidRPr="00062993" w:rsidRDefault="00062993" w:rsidP="00062993">
      <w:pPr>
        <w:pStyle w:val="otstup"/>
        <w:shd w:val="clear" w:color="auto" w:fill="FFFFFF"/>
        <w:ind w:left="150" w:right="150" w:firstLine="567"/>
        <w:jc w:val="both"/>
      </w:pPr>
      <w:r w:rsidRPr="00062993">
        <w:t>Задание на поверочный расчёт прилагается в </w:t>
      </w:r>
      <w:hyperlink r:id="rId6" w:tgtFrame="_blank" w:history="1">
        <w:r w:rsidRPr="00062993">
          <w:rPr>
            <w:rStyle w:val="a4"/>
            <w:color w:val="auto"/>
          </w:rPr>
          <w:t>таблице П11</w:t>
        </w:r>
      </w:hyperlink>
      <w:r w:rsidRPr="00062993">
        <w:t> (вариант выбирается по двум последний цифрам номера зачетной книжки).</w:t>
      </w:r>
    </w:p>
    <w:p w:rsidR="00062993" w:rsidRPr="00062993" w:rsidRDefault="00062993" w:rsidP="00062993">
      <w:pPr>
        <w:pStyle w:val="otstup"/>
        <w:shd w:val="clear" w:color="auto" w:fill="FFFFFF"/>
        <w:ind w:left="150" w:right="150" w:firstLine="567"/>
        <w:jc w:val="both"/>
      </w:pPr>
      <w:r w:rsidRPr="00062993">
        <w:t>Данные по составу топлива - </w:t>
      </w:r>
      <w:hyperlink r:id="rId7" w:tgtFrame="_blank" w:history="1">
        <w:r w:rsidRPr="00062993">
          <w:rPr>
            <w:rStyle w:val="a4"/>
            <w:color w:val="auto"/>
          </w:rPr>
          <w:t>таблицы П7</w:t>
        </w:r>
      </w:hyperlink>
      <w:r w:rsidRPr="00062993">
        <w:t>, </w:t>
      </w:r>
      <w:hyperlink r:id="rId8" w:tgtFrame="_blank" w:history="1">
        <w:r w:rsidRPr="00062993">
          <w:rPr>
            <w:rStyle w:val="a4"/>
            <w:color w:val="auto"/>
          </w:rPr>
          <w:t>П8</w:t>
        </w:r>
      </w:hyperlink>
      <w:r w:rsidRPr="00062993">
        <w:t>.</w:t>
      </w:r>
    </w:p>
    <w:p w:rsidR="00062993" w:rsidRPr="00062993" w:rsidRDefault="00062993" w:rsidP="00062993">
      <w:pPr>
        <w:pStyle w:val="otstup"/>
        <w:shd w:val="clear" w:color="auto" w:fill="FFFFFF"/>
        <w:ind w:left="150" w:right="150" w:firstLine="567"/>
        <w:jc w:val="both"/>
      </w:pPr>
      <w:r w:rsidRPr="00062993">
        <w:t>Графическая часть курсового проекта состоит из листа формата А1. На листе должен быть представлен принятый котел в разрезах.</w:t>
      </w:r>
    </w:p>
    <w:p w:rsidR="00062993" w:rsidRPr="00062993" w:rsidRDefault="00062993" w:rsidP="00062993">
      <w:pPr>
        <w:pStyle w:val="1"/>
        <w:spacing w:after="300" w:afterAutospacing="0"/>
        <w:jc w:val="both"/>
        <w:rPr>
          <w:rFonts w:ascii="Arial" w:hAnsi="Arial" w:cs="Arial"/>
          <w:sz w:val="36"/>
          <w:szCs w:val="36"/>
        </w:rPr>
      </w:pPr>
      <w:r w:rsidRPr="00062993">
        <w:rPr>
          <w:rFonts w:ascii="Arial" w:hAnsi="Arial" w:cs="Arial"/>
          <w:sz w:val="36"/>
          <w:szCs w:val="36"/>
        </w:rPr>
        <w:t>Выбор температуры уходящих газов и коэффициента избытка воздуха</w:t>
      </w:r>
    </w:p>
    <w:p w:rsidR="00062993" w:rsidRDefault="00062993"/>
    <w:p w:rsidR="00062993" w:rsidRDefault="00062993">
      <w:r w:rsidRPr="00062993">
        <w:rPr>
          <w:noProof/>
          <w:lang w:eastAsia="ru-RU"/>
        </w:rPr>
        <w:lastRenderedPageBreak/>
        <w:drawing>
          <wp:inline distT="0" distB="0" distL="0" distR="0" wp14:anchorId="7BEFDEFF" wp14:editId="1D0C1AC6">
            <wp:extent cx="6840855" cy="1113726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113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993" w:rsidRDefault="00062993" w:rsidP="00062993">
      <w:pPr>
        <w:pStyle w:val="1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</w:t>
      </w:r>
    </w:p>
    <w:p w:rsidR="00062993" w:rsidRDefault="00062993" w:rsidP="00062993">
      <w:pPr>
        <w:pStyle w:val="1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 w:rsidRPr="00062993">
        <w:rPr>
          <w:rFonts w:ascii="Arial" w:hAnsi="Arial" w:cs="Arial"/>
          <w:sz w:val="36"/>
          <w:szCs w:val="36"/>
        </w:rPr>
        <w:t>. Расчет объемов воздуха и продуктов сгорания</w:t>
      </w:r>
    </w:p>
    <w:p w:rsidR="00062993" w:rsidRDefault="00062993">
      <w:r>
        <w:rPr>
          <w:noProof/>
          <w:lang w:eastAsia="ru-RU"/>
        </w:rPr>
        <w:lastRenderedPageBreak/>
        <w:drawing>
          <wp:inline distT="0" distB="0" distL="0" distR="0" wp14:anchorId="0C74236E" wp14:editId="462CEAE8">
            <wp:extent cx="6840855" cy="787971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787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993" w:rsidRDefault="00062993" w:rsidP="00062993"/>
    <w:p w:rsidR="00062993" w:rsidRDefault="00062993" w:rsidP="00062993">
      <w:pPr>
        <w:ind w:firstLine="708"/>
      </w:pPr>
      <w:r>
        <w:rPr>
          <w:noProof/>
          <w:lang w:eastAsia="ru-RU"/>
        </w:rPr>
        <w:drawing>
          <wp:inline distT="0" distB="0" distL="0" distR="0" wp14:anchorId="05D12E8F" wp14:editId="0D8FB167">
            <wp:extent cx="54768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EF1BA22" wp14:editId="61B35971">
            <wp:extent cx="6840855" cy="6605270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660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993" w:rsidRDefault="00062993" w:rsidP="00062993">
      <w:r>
        <w:rPr>
          <w:noProof/>
          <w:lang w:eastAsia="ru-RU"/>
        </w:rPr>
        <w:lastRenderedPageBreak/>
        <w:drawing>
          <wp:inline distT="0" distB="0" distL="0" distR="0" wp14:anchorId="26344BD2" wp14:editId="664947E6">
            <wp:extent cx="3914775" cy="6381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65BDE29" wp14:editId="5666B3E3">
            <wp:extent cx="6840855" cy="1044511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044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D49" w:rsidRDefault="00062993" w:rsidP="00062993">
      <w:r>
        <w:rPr>
          <w:noProof/>
          <w:lang w:eastAsia="ru-RU"/>
        </w:rPr>
        <w:lastRenderedPageBreak/>
        <w:drawing>
          <wp:inline distT="0" distB="0" distL="0" distR="0" wp14:anchorId="0DFAD522" wp14:editId="46C22C39">
            <wp:extent cx="6840855" cy="87452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874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993" w:rsidRDefault="00275D49" w:rsidP="00275D49">
      <w:r>
        <w:rPr>
          <w:noProof/>
          <w:lang w:eastAsia="ru-RU"/>
        </w:rPr>
        <w:lastRenderedPageBreak/>
        <w:drawing>
          <wp:inline distT="0" distB="0" distL="0" distR="0" wp14:anchorId="02FE863D" wp14:editId="42D51090">
            <wp:extent cx="6840855" cy="55435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55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A25FFC8" wp14:editId="51D1E85A">
            <wp:extent cx="6840855" cy="15313660"/>
            <wp:effectExtent l="0" t="0" r="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531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D49" w:rsidRDefault="00275D49" w:rsidP="00275D49">
      <w:r>
        <w:rPr>
          <w:noProof/>
          <w:lang w:eastAsia="ru-RU"/>
        </w:rPr>
        <w:lastRenderedPageBreak/>
        <w:drawing>
          <wp:inline distT="0" distB="0" distL="0" distR="0" wp14:anchorId="0946DD63" wp14:editId="3A36781F">
            <wp:extent cx="6840855" cy="87852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878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E6A" w:rsidRDefault="00AA7E6A" w:rsidP="00275D49">
      <w:r>
        <w:rPr>
          <w:noProof/>
          <w:lang w:eastAsia="ru-RU"/>
        </w:rPr>
        <w:lastRenderedPageBreak/>
        <w:drawing>
          <wp:inline distT="0" distB="0" distL="0" distR="0" wp14:anchorId="03E9DE13" wp14:editId="564F3802">
            <wp:extent cx="6840855" cy="50038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50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D6754B6" wp14:editId="6B53464C">
            <wp:extent cx="6840855" cy="14945995"/>
            <wp:effectExtent l="0" t="0" r="0" b="825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494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E6A" w:rsidRDefault="00AA7E6A" w:rsidP="00AA7E6A">
      <w:r>
        <w:rPr>
          <w:noProof/>
          <w:lang w:eastAsia="ru-RU"/>
        </w:rPr>
        <w:lastRenderedPageBreak/>
        <w:drawing>
          <wp:inline distT="0" distB="0" distL="0" distR="0" wp14:anchorId="3C5B1AD7" wp14:editId="7D81F121">
            <wp:extent cx="6840855" cy="525145"/>
            <wp:effectExtent l="0" t="0" r="0" b="825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5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D67AF66" wp14:editId="6550C2CF">
            <wp:extent cx="6840855" cy="791337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791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E6A" w:rsidRDefault="00AA7E6A" w:rsidP="00AA7E6A"/>
    <w:p w:rsidR="00AA7E6A" w:rsidRDefault="00AA7E6A" w:rsidP="00AA7E6A">
      <w:pPr>
        <w:ind w:firstLine="708"/>
      </w:pPr>
      <w:r>
        <w:rPr>
          <w:noProof/>
          <w:lang w:eastAsia="ru-RU"/>
        </w:rPr>
        <w:drawing>
          <wp:inline distT="0" distB="0" distL="0" distR="0" wp14:anchorId="2C3A5C4D" wp14:editId="2A9A8175">
            <wp:extent cx="6840855" cy="34163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9651BAE" wp14:editId="50D8D2C4">
            <wp:extent cx="6840855" cy="3904615"/>
            <wp:effectExtent l="0" t="0" r="0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90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7947E6F" wp14:editId="43554D5E">
            <wp:extent cx="6840855" cy="4360545"/>
            <wp:effectExtent l="0" t="0" r="0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36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B424A32" wp14:editId="00750EEA">
            <wp:extent cx="6840855" cy="1858645"/>
            <wp:effectExtent l="0" t="0" r="0" b="82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85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A8936E1" wp14:editId="6390E194">
            <wp:extent cx="6840855" cy="392684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92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E6A" w:rsidRDefault="00AA7E6A" w:rsidP="00AA7E6A">
      <w:pPr>
        <w:ind w:firstLine="708"/>
      </w:pPr>
      <w:r>
        <w:rPr>
          <w:noProof/>
          <w:lang w:eastAsia="ru-RU"/>
        </w:rPr>
        <w:drawing>
          <wp:inline distT="0" distB="0" distL="0" distR="0" wp14:anchorId="283EFC87" wp14:editId="6384AB47">
            <wp:extent cx="6840855" cy="5193030"/>
            <wp:effectExtent l="0" t="0" r="0" b="762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519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64B1979" wp14:editId="12E550D7">
            <wp:extent cx="6840855" cy="1788160"/>
            <wp:effectExtent l="0" t="0" r="0" b="254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78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E6A" w:rsidRDefault="00AA7E6A" w:rsidP="00AA7E6A">
      <w:pPr>
        <w:ind w:left="567" w:firstLine="141"/>
      </w:pPr>
      <w:r>
        <w:rPr>
          <w:noProof/>
          <w:lang w:eastAsia="ru-RU"/>
        </w:rPr>
        <w:lastRenderedPageBreak/>
        <w:drawing>
          <wp:inline distT="0" distB="0" distL="0" distR="0" wp14:anchorId="1E8C6089" wp14:editId="76506FA7">
            <wp:extent cx="4619625" cy="37052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67AF350" wp14:editId="2F782F98">
            <wp:extent cx="4610100" cy="27432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E6A" w:rsidRDefault="00AA7E6A" w:rsidP="00AA7E6A">
      <w:pPr>
        <w:ind w:left="567" w:firstLine="141"/>
      </w:pPr>
      <w:r>
        <w:rPr>
          <w:noProof/>
          <w:lang w:eastAsia="ru-RU"/>
        </w:rPr>
        <w:drawing>
          <wp:inline distT="0" distB="0" distL="0" distR="0" wp14:anchorId="36412134" wp14:editId="6D4B290B">
            <wp:extent cx="6840855" cy="515302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ADCD7CB" wp14:editId="064A4BC1">
            <wp:extent cx="5534025" cy="450532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647B" w:rsidRDefault="004C20F0" w:rsidP="00AA7E6A">
      <w:pPr>
        <w:ind w:left="567" w:firstLine="141"/>
      </w:pPr>
      <w:r>
        <w:rPr>
          <w:noProof/>
          <w:lang w:eastAsia="ru-RU"/>
        </w:rPr>
        <w:lastRenderedPageBreak/>
        <w:drawing>
          <wp:inline distT="0" distB="0" distL="0" distR="0" wp14:anchorId="352A7430" wp14:editId="61807D1B">
            <wp:extent cx="6124575" cy="572452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AB76F3F" wp14:editId="535DADEF">
            <wp:extent cx="6162675" cy="47625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6C666D7" wp14:editId="6735EA83">
            <wp:extent cx="6086475" cy="55245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0F0" w:rsidRDefault="004C20F0" w:rsidP="00CB0F98">
      <w:pPr>
        <w:ind w:left="142" w:firstLine="851"/>
      </w:pPr>
      <w:r>
        <w:rPr>
          <w:noProof/>
          <w:lang w:eastAsia="ru-RU"/>
        </w:rPr>
        <w:lastRenderedPageBreak/>
        <w:drawing>
          <wp:inline distT="0" distB="0" distL="0" distR="0" wp14:anchorId="055338BE" wp14:editId="1A3F542A">
            <wp:extent cx="6840855" cy="427355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27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CA1E6EA" wp14:editId="4214BBB6">
            <wp:extent cx="3781425" cy="402907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E38BE8D" wp14:editId="18ACB5ED">
            <wp:extent cx="3829050" cy="244792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997" w:rsidRDefault="002A7997" w:rsidP="00CB0F98">
      <w:pPr>
        <w:ind w:left="142" w:firstLine="851"/>
      </w:pPr>
      <w:r>
        <w:rPr>
          <w:noProof/>
          <w:lang w:eastAsia="ru-RU"/>
        </w:rPr>
        <w:lastRenderedPageBreak/>
        <w:drawing>
          <wp:inline distT="0" distB="0" distL="0" distR="0" wp14:anchorId="28B45395" wp14:editId="72CD33CC">
            <wp:extent cx="6840855" cy="5118735"/>
            <wp:effectExtent l="0" t="0" r="0" b="571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511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29A738" wp14:editId="0607C64A">
            <wp:extent cx="6840855" cy="3618230"/>
            <wp:effectExtent l="0" t="0" r="0" b="127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61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1ABC6AF" wp14:editId="604EC18D">
            <wp:extent cx="6840855" cy="99631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9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997" w:rsidRDefault="002A7997" w:rsidP="002A7997">
      <w:pPr>
        <w:ind w:left="142"/>
      </w:pPr>
      <w:r>
        <w:rPr>
          <w:noProof/>
          <w:lang w:eastAsia="ru-RU"/>
        </w:rPr>
        <w:lastRenderedPageBreak/>
        <w:drawing>
          <wp:inline distT="0" distB="0" distL="0" distR="0" wp14:anchorId="0EB6D452" wp14:editId="5BB27090">
            <wp:extent cx="6840855" cy="12720320"/>
            <wp:effectExtent l="0" t="0" r="0" b="508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272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997" w:rsidRDefault="002A7997" w:rsidP="002A7997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noProof/>
        </w:rPr>
        <w:drawing>
          <wp:inline distT="0" distB="0" distL="0" distR="0" wp14:anchorId="7715A04B" wp14:editId="13B83303">
            <wp:extent cx="6600825" cy="526732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60082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997" w:rsidRDefault="002A7997" w:rsidP="002A7997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</w:p>
    <w:p w:rsidR="002A7997" w:rsidRPr="002A7997" w:rsidRDefault="002A7997" w:rsidP="002A7997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bookmarkStart w:id="0" w:name="_GoBack"/>
      <w:bookmarkEnd w:id="0"/>
      <w:r w:rsidRPr="002A7997">
        <w:rPr>
          <w:rFonts w:ascii="Arial" w:hAnsi="Arial" w:cs="Arial"/>
          <w:color w:val="FFFFFF"/>
          <w:sz w:val="36"/>
          <w:szCs w:val="36"/>
        </w:rPr>
        <w:lastRenderedPageBreak/>
        <w:t>Список рекомендованной литературы</w:t>
      </w:r>
    </w:p>
    <w:p w:rsidR="002A7997" w:rsidRPr="002A7997" w:rsidRDefault="002A7997" w:rsidP="002A7997">
      <w:pPr>
        <w:numPr>
          <w:ilvl w:val="0"/>
          <w:numId w:val="3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A799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Тепловой расчёт котельного агрегата (нормативный метод), под редакцией Н.В Кузнецова, В. В. </w:t>
      </w:r>
      <w:proofErr w:type="spellStart"/>
      <w:r w:rsidRPr="002A799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Митора</w:t>
      </w:r>
      <w:proofErr w:type="spellEnd"/>
      <w:r w:rsidRPr="002A799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И.Е. </w:t>
      </w:r>
      <w:proofErr w:type="spellStart"/>
      <w:r w:rsidRPr="002A799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Дубовицкого</w:t>
      </w:r>
      <w:proofErr w:type="spellEnd"/>
      <w:r w:rsidRPr="002A799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др. – 2 – е изд., переработанное – М.: Энергия. 1973. – 295с.</w:t>
      </w:r>
    </w:p>
    <w:p w:rsidR="002A7997" w:rsidRPr="002A7997" w:rsidRDefault="002A7997" w:rsidP="002A79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A799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Теплогенерирующие установки: Учебник для вузов / Г.Н. Делягин, В.И. Лебедев, В.А. Пермяков. - М.: </w:t>
      </w:r>
      <w:proofErr w:type="spellStart"/>
      <w:r w:rsidRPr="002A799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Стройиздат</w:t>
      </w:r>
      <w:proofErr w:type="spellEnd"/>
      <w:r w:rsidRPr="002A799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1986. - 559 с.</w:t>
      </w:r>
    </w:p>
    <w:p w:rsidR="002A7997" w:rsidRPr="002A7997" w:rsidRDefault="002A7997" w:rsidP="002A79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A799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Компоновка и тепловой расчет парового котла.: Учебное пособие для </w:t>
      </w:r>
      <w:proofErr w:type="gramStart"/>
      <w:r w:rsidRPr="002A799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вузов./</w:t>
      </w:r>
      <w:proofErr w:type="gramEnd"/>
      <w:r w:rsidRPr="002A799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Ю.М. </w:t>
      </w:r>
      <w:proofErr w:type="spellStart"/>
      <w:r w:rsidRPr="002A799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Липов</w:t>
      </w:r>
      <w:proofErr w:type="spellEnd"/>
      <w:r w:rsidRPr="002A799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Ю.Ф. Самойлов, Т.В. Вишневский - М.: </w:t>
      </w:r>
      <w:proofErr w:type="spellStart"/>
      <w:r w:rsidRPr="002A799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Энергоатомиздат</w:t>
      </w:r>
      <w:proofErr w:type="spellEnd"/>
      <w:r w:rsidRPr="002A799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1988. - 208с.</w:t>
      </w:r>
    </w:p>
    <w:p w:rsidR="002A7997" w:rsidRPr="002A7997" w:rsidRDefault="002A7997" w:rsidP="002A79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A799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Справочник по котельным установкам малой производительности / К.Ф. </w:t>
      </w:r>
      <w:proofErr w:type="spellStart"/>
      <w:r w:rsidRPr="002A799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Роддатис</w:t>
      </w:r>
      <w:proofErr w:type="spellEnd"/>
      <w:r w:rsidRPr="002A799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А.Н. </w:t>
      </w:r>
      <w:proofErr w:type="spellStart"/>
      <w:r w:rsidRPr="002A799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Полтарецкий</w:t>
      </w:r>
      <w:proofErr w:type="spellEnd"/>
      <w:r w:rsidRPr="002A799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- М.: </w:t>
      </w:r>
      <w:proofErr w:type="spellStart"/>
      <w:r w:rsidRPr="002A799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Энергоатомиздат</w:t>
      </w:r>
      <w:proofErr w:type="spellEnd"/>
      <w:r w:rsidRPr="002A799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1989. - 487 с.</w:t>
      </w:r>
    </w:p>
    <w:p w:rsidR="002A7997" w:rsidRPr="002A7997" w:rsidRDefault="002A7997" w:rsidP="002A79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A799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Поверочный расчет парового котла (методические указания) / Л.В. Артеева- Ухта, УИИ, 1997. – 36 с.</w:t>
      </w:r>
    </w:p>
    <w:p w:rsidR="002A7997" w:rsidRPr="002A7997" w:rsidRDefault="002A7997" w:rsidP="002A7997"/>
    <w:sectPr w:rsidR="002A7997" w:rsidRPr="002A7997" w:rsidSect="002A7997">
      <w:pgSz w:w="11907" w:h="31185" w:code="9"/>
      <w:pgMar w:top="567" w:right="850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043EC"/>
    <w:multiLevelType w:val="multilevel"/>
    <w:tmpl w:val="0AF6C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083AB1"/>
    <w:multiLevelType w:val="multilevel"/>
    <w:tmpl w:val="95A8B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673857"/>
    <w:multiLevelType w:val="multilevel"/>
    <w:tmpl w:val="4A4A5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BFE"/>
    <w:rsid w:val="00062993"/>
    <w:rsid w:val="00275D49"/>
    <w:rsid w:val="002A7997"/>
    <w:rsid w:val="0048647B"/>
    <w:rsid w:val="004C0BFE"/>
    <w:rsid w:val="004C20F0"/>
    <w:rsid w:val="00AA7E6A"/>
    <w:rsid w:val="00CB0F98"/>
    <w:rsid w:val="00F31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6ECFF"/>
  <w15:chartTrackingRefBased/>
  <w15:docId w15:val="{9FCB190D-0DA3-4317-9C02-981044A2F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29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9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062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62993"/>
    <w:rPr>
      <w:b/>
      <w:bCs/>
    </w:rPr>
  </w:style>
  <w:style w:type="character" w:customStyle="1" w:styleId="form">
    <w:name w:val="form"/>
    <w:basedOn w:val="a0"/>
    <w:rsid w:val="00062993"/>
  </w:style>
  <w:style w:type="character" w:styleId="a4">
    <w:name w:val="Hyperlink"/>
    <w:basedOn w:val="a0"/>
    <w:uiPriority w:val="99"/>
    <w:semiHidden/>
    <w:unhideWhenUsed/>
    <w:rsid w:val="000629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6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0436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0982968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629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4912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4756756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842090990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</w:divsChild>
        </w:div>
      </w:divsChild>
    </w:div>
    <w:div w:id="13179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46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5673763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357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7" Type="http://schemas.openxmlformats.org/officeDocument/2006/relationships/hyperlink" Target="https://i-institute.tsu.tula.ru/moodle/pluginfile.php/96956/mod_resource/content/4/Heat-generating_installation1/kp/kp_11/kp_11_7.html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hyperlink" Target="https://i-institute.tsu.tula.ru/moodle/pluginfile.php/96956/mod_resource/content/4/Heat-generating_installation1/kp/kp_11/kp_11_11.html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fontTable" Target="fontTable.xml"/><Relationship Id="rId5" Type="http://schemas.openxmlformats.org/officeDocument/2006/relationships/hyperlink" Target="https://i-institute.tsu.tula.ru/moodle/pluginfile.php/96956/mod_resource/content/4/Heat-generating_installation1/lex/lex_12/teplovoi_raschet_kotlov_normativniy_method.pdf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8" Type="http://schemas.openxmlformats.org/officeDocument/2006/relationships/hyperlink" Target="https://i-institute.tsu.tula.ru/moodle/pluginfile.php/96956/mod_resource/content/4/Heat-generating_installation1/kp/kp_11/kp_11_8.html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theme" Target="theme/theme1.xml"/><Relationship Id="rId20" Type="http://schemas.openxmlformats.org/officeDocument/2006/relationships/image" Target="media/image12.png"/><Relationship Id="rId4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16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2022-01-27T13:52:00Z</dcterms:created>
  <dcterms:modified xsi:type="dcterms:W3CDTF">2022-01-27T14:17:00Z</dcterms:modified>
</cp:coreProperties>
</file>