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598" w:rsidRDefault="00F93C43">
      <w:r>
        <w:rPr>
          <w:rFonts w:ascii="Arial" w:hAnsi="Arial" w:cs="Arial"/>
          <w:color w:val="000000"/>
          <w:shd w:val="clear" w:color="auto" w:fill="FFFFFF"/>
        </w:rPr>
        <w:t>Теория государства и права, как наука и учебная дисциплина.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Методология исследования государства и права.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Формы возникновения государства у различных народов.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Теория государства и права и проблема преодоления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идеологизации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юридической науки.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Соотношение формационного и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цивилизационного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подходов в типологии государства.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Легитимность государственного принуждения.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Суверенитет государства.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Факультативные признаки государства.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Соотношение права и государства.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Функции государства.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Соотношение законодательной и исполнительной ветвей власти.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Место и роль правоохранительных органов в структуре государства.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Роль законодательных (представительных) органов в демократическом государстве.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Форма государства.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Роль и значение судебной власти в демократическом государстве.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Принципы организации и деятельности государственных органов.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Политико-правовой режим в различных типах государств.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Виды политических режимов в современных монархиях.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Классификация политических режимов в современном мире.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Политическая система общества.</w:t>
      </w:r>
    </w:p>
    <w:sectPr w:rsidR="00372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93C43"/>
    <w:rsid w:val="00372598"/>
    <w:rsid w:val="00F9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2022-01-11T13:14:00Z</dcterms:created>
  <dcterms:modified xsi:type="dcterms:W3CDTF">2022-01-11T13:14:00Z</dcterms:modified>
</cp:coreProperties>
</file>