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838" w:rsidRDefault="00FF7838" w:rsidP="005E1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ФИО___________________________ Группа _____________________________</w:t>
      </w:r>
    </w:p>
    <w:p w:rsidR="00FF7838" w:rsidRDefault="00FF7838" w:rsidP="005E1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70644" w:rsidRPr="005A026F" w:rsidRDefault="005A026F" w:rsidP="005E1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26F">
        <w:rPr>
          <w:rFonts w:ascii="Times New Roman" w:hAnsi="Times New Roman" w:cs="Times New Roman"/>
          <w:b/>
          <w:sz w:val="24"/>
          <w:szCs w:val="24"/>
        </w:rPr>
        <w:t>ТЕСТЫ</w:t>
      </w:r>
    </w:p>
    <w:p w:rsidR="005A026F" w:rsidRPr="005A026F" w:rsidRDefault="005A026F" w:rsidP="005E1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026F">
        <w:rPr>
          <w:rFonts w:ascii="Times New Roman" w:hAnsi="Times New Roman" w:cs="Times New Roman"/>
          <w:b/>
          <w:sz w:val="24"/>
          <w:szCs w:val="24"/>
        </w:rPr>
        <w:t>(Тема:</w:t>
      </w:r>
      <w:proofErr w:type="gramEnd"/>
      <w:r w:rsidRPr="005A026F">
        <w:rPr>
          <w:rFonts w:ascii="Times New Roman" w:hAnsi="Times New Roman" w:cs="Times New Roman"/>
          <w:b/>
          <w:sz w:val="24"/>
          <w:szCs w:val="24"/>
        </w:rPr>
        <w:t xml:space="preserve"> Вексель. </w:t>
      </w:r>
      <w:proofErr w:type="gramStart"/>
      <w:r w:rsidRPr="005A026F">
        <w:rPr>
          <w:rFonts w:ascii="Times New Roman" w:hAnsi="Times New Roman" w:cs="Times New Roman"/>
          <w:b/>
          <w:sz w:val="24"/>
          <w:szCs w:val="24"/>
        </w:rPr>
        <w:t>Факторинг)</w:t>
      </w:r>
      <w:proofErr w:type="gramEnd"/>
    </w:p>
    <w:p w:rsidR="005A026F" w:rsidRPr="005A026F" w:rsidRDefault="005A026F" w:rsidP="005E1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36D8" w:rsidRPr="00FF7838" w:rsidRDefault="00FF7838" w:rsidP="005E1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1. </w:t>
      </w:r>
      <w:r w:rsidR="00F336D8" w:rsidRPr="00FF783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Положения, характеризующие виды векселей в зависимости от лежащих в их основе операций:</w:t>
      </w:r>
      <w:r w:rsidR="00F336D8" w:rsidRPr="00FF78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F336D8" w:rsidRPr="00FF7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2046" type="#_x0000_t75" style="width:20.05pt;height:17.55pt" o:ole="">
            <v:imagedata r:id="rId5" o:title=""/>
          </v:shape>
          <w:control r:id="rId6" w:name="DefaultOcxName" w:shapeid="_x0000_i2046"/>
        </w:obje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="00F336D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Коммерческие бумаги являются коммерческими векселями</w:t>
      </w:r>
    </w:p>
    <w:p w:rsidR="00F336D8" w:rsidRPr="00FF783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991" type="#_x0000_t75" style="width:20.05pt;height:18.15pt" o:ole="">
            <v:imagedata r:id="rId7" o:title=""/>
          </v:shape>
          <w:control r:id="rId8" w:name="DefaultOcxName1" w:shapeid="_x0000_i1991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финансового векселя лежит только финансовая операция</w:t>
      </w:r>
    </w:p>
    <w:p w:rsidR="00F336D8" w:rsidRPr="00FF783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2047" type="#_x0000_t75" style="width:20.05pt;height:18.15pt" o:ole="">
            <v:imagedata r:id="rId7" o:title=""/>
          </v:shape>
          <w:control r:id="rId9" w:name="DefaultOcxName2" w:shapeid="_x0000_i2047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дружеского векселя лежит сделка купли-продажи с отсрочкой платежа на срок больше одного года</w:t>
      </w:r>
    </w:p>
    <w:p w:rsidR="00F336D8" w:rsidRPr="00FF783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989" type="#_x0000_t75" style="width:20.05pt;height:18.15pt" o:ole="">
            <v:imagedata r:id="rId7" o:title=""/>
          </v:shape>
          <w:control r:id="rId10" w:name="DefaultOcxName3" w:shapeid="_x0000_i1989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коммерческого векселя лежит сделка купли-продажи с отсрочкой платежа</w:t>
      </w:r>
    </w:p>
    <w:p w:rsidR="00F336D8" w:rsidRPr="00FF783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988" type="#_x0000_t75" style="width:20.05pt;height:18.15pt" o:ole="">
            <v:imagedata r:id="rId7" o:title=""/>
          </v:shape>
          <w:control r:id="rId11" w:name="DefaultOcxName4" w:shapeid="_x0000_i1988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векселя финансовых организаций, оформленные по роду основной деятельности, являются финансовыми</w:t>
      </w:r>
    </w:p>
    <w:p w:rsidR="00F336D8" w:rsidRPr="005A026F" w:rsidRDefault="00F336D8" w:rsidP="005E11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0EFF6"/>
          <w:lang w:eastAsia="ru-RU"/>
        </w:rPr>
      </w:pPr>
    </w:p>
    <w:p w:rsidR="00F336D8" w:rsidRPr="00FF7838" w:rsidRDefault="005A026F" w:rsidP="005E1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2. </w:t>
      </w:r>
      <w:r w:rsidR="00F336D8" w:rsidRPr="00FF783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Вексельное законодательство допускает следующие сроки платежа по векселю:</w:t>
      </w:r>
      <w:r w:rsidR="00F336D8" w:rsidRPr="00FF78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F336D8" w:rsidRPr="00FF7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2048" type="#_x0000_t75" style="width:20.05pt;height:18.15pt" o:ole="">
            <v:imagedata r:id="rId7" o:title=""/>
          </v:shape>
          <w:control r:id="rId12" w:name="DefaultOcxName5" w:shapeid="_x0000_i2048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36D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столько-то времени от составления</w:t>
      </w:r>
    </w:p>
    <w:p w:rsidR="00F336D8" w:rsidRPr="00FF783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2049" type="#_x0000_t75" style="width:20.05pt;height:18.15pt" o:ole="">
            <v:imagedata r:id="rId7" o:title=""/>
          </v:shape>
          <w:control r:id="rId13" w:name="DefaultOcxName11" w:shapeid="_x0000_i2049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столько-то времени от предъявления</w:t>
      </w:r>
    </w:p>
    <w:p w:rsidR="00F336D8" w:rsidRPr="00FF783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2043" type="#_x0000_t75" style="width:20.05pt;height:18.15pt" o:ole="">
            <v:imagedata r:id="rId7" o:title=""/>
          </v:shape>
          <w:control r:id="rId14" w:name="DefaultOcxName21" w:shapeid="_x0000_i2043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предъявлении</w:t>
      </w:r>
    </w:p>
    <w:p w:rsidR="00F336D8" w:rsidRPr="00FF783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2042" type="#_x0000_t75" style="width:20.05pt;height:18.15pt" o:ole="">
            <v:imagedata r:id="rId7" o:title=""/>
          </v:shape>
          <w:control r:id="rId15" w:name="DefaultOcxName31" w:shapeid="_x0000_i2042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оплаты не указан</w:t>
      </w:r>
    </w:p>
    <w:p w:rsidR="00F336D8" w:rsidRPr="00FF783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2041" type="#_x0000_t75" style="width:20.05pt;height:18.15pt" o:ole="">
            <v:imagedata r:id="rId7" o:title=""/>
          </v:shape>
          <w:control r:id="rId16" w:name="DefaultOcxName41" w:shapeid="_x0000_i2041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предъявлении, но не ранее указанной дат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6D8" w:rsidRPr="005A026F" w:rsidRDefault="005A026F" w:rsidP="005E1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3. </w:t>
      </w:r>
      <w:r w:rsidR="00F336D8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Вексельный протест:</w:t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095" type="#_x0000_t75" style="width:20.05pt;height:17.55pt" o:ole="">
            <v:imagedata r:id="rId5" o:title=""/>
          </v:shape>
          <w:control r:id="rId17" w:name="DefaultOcxName6" w:shapeid="_x0000_i1095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Означает письменный обоснованный отказ плательщика в оплате </w:t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векселя, совершённый в течение двух рабочих дней после окончания срока платежа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094" type="#_x0000_t75" style="width:20.05pt;height:17.55pt" o:ole="">
            <v:imagedata r:id="rId5" o:title=""/>
          </v:shape>
          <w:control r:id="rId18" w:name="DefaultOcxName12" w:shapeid="_x0000_i1094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для рассмотрения дела о неоплате векселя в суде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093" type="#_x0000_t75" style="width:20.05pt;height:17.55pt" o:ole="">
            <v:imagedata r:id="rId5" o:title=""/>
          </v:shape>
          <w:control r:id="rId19" w:name="DefaultOcxName22" w:shapeid="_x0000_i1093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для принятия векселя к исполнению без суда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092" type="#_x0000_t75" style="width:20.05pt;height:17.55pt" o:ole="">
            <v:imagedata r:id="rId5" o:title=""/>
          </v:shape>
          <w:control r:id="rId20" w:name="DefaultOcxName32" w:shapeid="_x0000_i1092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Означает нотариально заверенное удостоверение требования платежа и его неполучения, совершённое в течение двух рабочих дней после окончания срока платежа</w:t>
      </w:r>
    </w:p>
    <w:p w:rsidR="00F336D8" w:rsidRPr="005A026F" w:rsidRDefault="00F336D8" w:rsidP="005E11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0EFF6"/>
          <w:lang w:eastAsia="ru-RU"/>
        </w:rPr>
      </w:pPr>
    </w:p>
    <w:p w:rsidR="00F336D8" w:rsidRPr="005A026F" w:rsidRDefault="005A026F" w:rsidP="005E1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4. </w:t>
      </w:r>
      <w:r w:rsidR="00F336D8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Специфические свойства векселя:</w:t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125" type="#_x0000_t75" style="width:20.05pt;height:17.55pt" o:ole="">
            <v:imagedata r:id="rId5" o:title=""/>
          </v:shape>
          <w:control r:id="rId21" w:name="DefaultOcxName7" w:shapeid="_x0000_i1125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Бесспорный характер векселя означает, что решение суда по делу о взыскании оплаты по векселю не может быть опротестовано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124" type="#_x0000_t75" style="width:20.05pt;height:17.55pt" o:ole="">
            <v:imagedata r:id="rId5" o:title=""/>
          </v:shape>
          <w:control r:id="rId22" w:name="DefaultOcxName13" w:shapeid="_x0000_i1124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Абстрактный характер векселя означает, что в его тексте не указано, кто является получателем платежа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2050" type="#_x0000_t75" style="width:20.05pt;height:17.55pt" o:ole="">
            <v:imagedata r:id="rId5" o:title=""/>
          </v:shape>
          <w:control r:id="rId23" w:name="DefaultOcxName23" w:shapeid="_x0000_i2050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Безусловный характер векселя означает, что если его текст содержит условие для платежа, то документ теряет силу векселя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122" type="#_x0000_t75" style="width:20.05pt;height:17.55pt" o:ole="">
            <v:imagedata r:id="rId5" o:title=""/>
          </v:shape>
          <w:control r:id="rId24" w:name="DefaultOcxName33" w:shapeid="_x0000_i1122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Абстрактный характер векселя означает, что его текст не ссылается на сделку, которая была основанием его выдачи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121" type="#_x0000_t75" style="width:20.05pt;height:17.55pt" o:ole="">
            <v:imagedata r:id="rId5" o:title=""/>
          </v:shape>
          <w:control r:id="rId25" w:name="DefaultOcxName42" w:shapeid="_x0000_i1121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Безусловный характер векселя означает, что его текст не должен содержать условия для платежа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 </w:t>
      </w:r>
      <w:r w:rsidRPr="0053441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В</w:t>
      </w:r>
      <w:r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 Российской Федерации обязываться векселем могут:</w:t>
      </w:r>
      <w:r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176" type="#_x0000_t75" style="width:20.05pt;height:17.55pt" o:ole="">
            <v:imagedata r:id="rId26" o:title=""/>
          </v:shape>
          <w:control r:id="rId27" w:name="DefaultOcxName8" w:shapeid="_x0000_i1176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юридические лица</w:t>
      </w:r>
    </w:p>
    <w:p w:rsidR="00F336D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175" type="#_x0000_t75" style="width:20.05pt;height:17.55pt" o:ole="">
            <v:imagedata r:id="rId26" o:title=""/>
          </v:shape>
          <w:control r:id="rId28" w:name="DefaultOcxName14" w:shapeid="_x0000_i1175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и физические лица</w:t>
      </w:r>
    </w:p>
    <w:p w:rsidR="00FF7838" w:rsidRPr="00FF7838" w:rsidRDefault="00FF783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С. т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лица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6D8" w:rsidRPr="00FF7838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6. </w:t>
      </w:r>
      <w:r w:rsidR="00F336D8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Главным и последним плательщиком по простому векселю является:</w:t>
      </w:r>
      <w:r w:rsidR="00F336D8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FF7838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. авалист</w:t>
      </w:r>
    </w:p>
    <w:p w:rsidR="00F336D8" w:rsidRPr="005E112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197" type="#_x0000_t75" style="width:20.05pt;height:17.55pt" o:ole="">
            <v:imagedata r:id="rId26" o:title=""/>
          </v:shape>
          <w:control r:id="rId29" w:name="DefaultOcxName15" w:shapeid="_x0000_i1197"/>
        </w:object>
      </w:r>
      <w:r w:rsidR="00FF78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FF783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12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екселедатель</w:t>
      </w:r>
    </w:p>
    <w:p w:rsidR="005E1128" w:rsidRPr="005E1128" w:rsidRDefault="005E112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Последний индоссант</w:t>
      </w:r>
    </w:p>
    <w:p w:rsidR="00F336D8" w:rsidRPr="005A026F" w:rsidRDefault="005E112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указанное в векселе в качестве плательщика</w:t>
      </w:r>
    </w:p>
    <w:p w:rsidR="00F336D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194" type="#_x0000_t75" style="width:20.05pt;height:17.55pt" o:ole="">
            <v:imagedata r:id="rId26" o:title=""/>
          </v:shape>
          <w:control r:id="rId30" w:name="DefaultOcxName43" w:shapeid="_x0000_i1194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акцептант</w:t>
      </w:r>
    </w:p>
    <w:p w:rsidR="00534419" w:rsidRPr="005A026F" w:rsidRDefault="00534419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6D8" w:rsidRP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7. </w:t>
      </w:r>
      <w:r w:rsidR="00F336D8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Положения, характеризующие форму индоссамента:</w:t>
      </w:r>
      <w:r w:rsidR="00F336D8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239" type="#_x0000_t75" style="width:20.05pt;height:17.55pt" o:ole="">
            <v:imagedata r:id="rId5" o:title=""/>
          </v:shape>
          <w:control r:id="rId31" w:name="DefaultOcxName10" w:shapeid="_x0000_i1239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Передающее вексель лицо называется индоссант, принимающее – индоссат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238" type="#_x0000_t75" style="width:20.05pt;height:17.55pt" o:ole="">
            <v:imagedata r:id="rId5" o:title=""/>
          </v:shape>
          <w:control r:id="rId32" w:name="DefaultOcxName16" w:shapeid="_x0000_i1238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Индоссамент может быть оформлен на часть вексельной суммы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237" type="#_x0000_t75" style="width:20.05pt;height:17.55pt" o:ole="">
            <v:imagedata r:id="rId5" o:title=""/>
          </v:shape>
          <w:control r:id="rId33" w:name="DefaultOcxName26" w:shapeid="_x0000_i1237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Передающее вексель лицо называется индоссат, принимающее – индоссант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2066" type="#_x0000_t75" style="width:20.05pt;height:17.55pt" o:ole="">
            <v:imagedata r:id="rId5" o:title=""/>
          </v:shape>
          <w:control r:id="rId34" w:name="DefaultOcxName35" w:shapeid="_x0000_i2066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Индоссамент может быть только полным на всю сумму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260" type="#_x0000_t75" style="width:20.05pt;height:17.55pt" o:ole="">
            <v:imagedata r:id="rId5" o:title=""/>
          </v:shape>
          <w:control r:id="rId35" w:name="DefaultOcxName44" w:shapeid="_x0000_i1260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Индоссамент не может содержать условия передачи векселя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6D8" w:rsidRPr="005E1128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8. </w:t>
      </w:r>
      <w:r w:rsidR="00F336D8" w:rsidRPr="005E112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Положения, характеризующие оформление вексельной суммы:</w:t>
      </w:r>
      <w:r w:rsidR="00F336D8" w:rsidRPr="005E1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E1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275" type="#_x0000_t75" style="width:20.05pt;height:17.55pt" o:ole="">
            <v:imagedata r:id="rId5" o:title=""/>
          </v:shape>
          <w:control r:id="rId36" w:name="DefaultOcxName18" w:shapeid="_x0000_i1275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36D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обозначении суммы векселя не допускается указание процентов</w:t>
      </w:r>
    </w:p>
    <w:p w:rsidR="00F336D8" w:rsidRPr="005E112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2077" type="#_x0000_t75" style="width:20.05pt;height:17.55pt" o:ole="">
            <v:imagedata r:id="rId5" o:title=""/>
          </v:shape>
          <w:control r:id="rId37" w:name="DefaultOcxName17" w:shapeid="_x0000_i2077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векселе сумма обозначена несколько раз прописью, то в случае разногласия между обозначениями вексель имеет силу на меньшую сумму</w:t>
      </w:r>
    </w:p>
    <w:p w:rsidR="00F336D8" w:rsidRPr="005E112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273" type="#_x0000_t75" style="width:20.05pt;height:17.55pt" o:ole="">
            <v:imagedata r:id="rId5" o:title=""/>
          </v:shape>
          <w:control r:id="rId38" w:name="DefaultOcxName27" w:shapeid="_x0000_i1273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разногласия между обозначениями суммы прописью и цифрами, вексель имеет силу на сумму, обозначенную прописью</w:t>
      </w:r>
    </w:p>
    <w:p w:rsidR="00F336D8" w:rsidRPr="005E112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272" type="#_x0000_t75" style="width:20.05pt;height:17.55pt" o:ole="">
            <v:imagedata r:id="rId5" o:title=""/>
          </v:shape>
          <w:control r:id="rId39" w:name="DefaultOcxName36" w:shapeid="_x0000_i1272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векселе сумма обозначена несколько раз прописью, то в случае разногласия между обозначениями документ не имеет силы векселя</w:t>
      </w:r>
    </w:p>
    <w:p w:rsidR="00F336D8" w:rsidRPr="005E112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271" type="#_x0000_t75" style="width:20.05pt;height:17.55pt" o:ole="">
            <v:imagedata r:id="rId5" o:title=""/>
          </v:shape>
          <w:control r:id="rId40" w:name="DefaultOcxName45" w:shapeid="_x0000_i1271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разногласия между обозначениями суммы прописью и цифрами, вексель имеет силу на сумму, обозначенную цифрами</w:t>
      </w:r>
    </w:p>
    <w:p w:rsid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</w:pPr>
    </w:p>
    <w:p w:rsidR="00F336D8" w:rsidRP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lastRenderedPageBreak/>
        <w:t xml:space="preserve">9. </w:t>
      </w:r>
      <w:r w:rsidR="00F336D8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Признаки векселя в зависимости от субъекта плательщика:</w:t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309" type="#_x0000_t75" style="width:20.05pt;height:17.55pt" o:ole="">
            <v:imagedata r:id="rId5" o:title=""/>
          </v:shape>
          <w:control r:id="rId41" w:name="DefaultOcxName20" w:shapeid="_x0000_i1309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Плательщиком по простому векселю является трассат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308" type="#_x0000_t75" style="width:20.05pt;height:17.55pt" o:ole="">
            <v:imagedata r:id="rId5" o:title=""/>
          </v:shape>
          <w:control r:id="rId42" w:name="DefaultOcxName19" w:shapeid="_x0000_i1308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Векселедатель тратты называется трассантом, плательщик – трассатом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307" type="#_x0000_t75" style="width:20.05pt;height:17.55pt" o:ole="">
            <v:imagedata r:id="rId5" o:title=""/>
          </v:shape>
          <w:control r:id="rId43" w:name="DefaultOcxName28" w:shapeid="_x0000_i1307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Соло-вексель содержит обязательство векселедателя уплатить вексельную сумму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306" type="#_x0000_t75" style="width:20.05pt;height:17.55pt" o:ole="">
            <v:imagedata r:id="rId5" o:title=""/>
          </v:shape>
          <w:control r:id="rId44" w:name="DefaultOcxName37" w:shapeid="_x0000_i1306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Тратта содержит предложение векселедателя плательщику уплатить вексельную сумму</w:t>
      </w:r>
    </w:p>
    <w:p w:rsidR="00F336D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305" type="#_x0000_t75" style="width:20.05pt;height:17.55pt" o:ole="">
            <v:imagedata r:id="rId5" o:title=""/>
          </v:shape>
          <w:control r:id="rId45" w:name="DefaultOcxName46" w:shapeid="_x0000_i1305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Плательщиком по переводному векселю является указанное в нём третье лицо</w:t>
      </w:r>
    </w:p>
    <w:p w:rsid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6D8" w:rsidRP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10. </w:t>
      </w:r>
      <w:r w:rsidR="00F336D8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Свойства векселя как ценной бумаги:</w:t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927" type="#_x0000_t75" style="width:20.05pt;height:17.55pt" o:ole="">
            <v:imagedata r:id="rId5" o:title=""/>
          </v:shape>
          <w:control r:id="rId46" w:name="DefaultOcxName30" w:shapeid="_x0000_i1927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36D8"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Вексель является ордерной ценной бумагой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922" type="#_x0000_t75" style="width:20.05pt;height:18.15pt" o:ole="">
            <v:imagedata r:id="rId7" o:title=""/>
          </v:shape>
          <w:control r:id="rId47" w:name="DefaultOcxName110" w:shapeid="_x0000_i1922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Вексель может существовать в документарном или электронном виде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340" type="#_x0000_t75" style="width:20.05pt;height:17.55pt" o:ole="">
            <v:imagedata r:id="rId5" o:title=""/>
          </v:shape>
          <w:control r:id="rId48" w:name="DefaultOcxName29" w:shapeid="_x0000_i1340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Вексель – всегда денежное обязательство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339" type="#_x0000_t75" style="width:20.05pt;height:17.55pt" o:ole="">
            <v:imagedata r:id="rId5" o:title=""/>
          </v:shape>
          <w:control r:id="rId49" w:name="DefaultOcxName38" w:shapeid="_x0000_i1339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Серийные векселя относятся к эмиссионным ценным бумагам</w:t>
      </w:r>
    </w:p>
    <w:p w:rsidR="00F336D8" w:rsidRPr="005A026F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920" type="#_x0000_t75" style="width:20.05pt;height:17.55pt" o:ole="">
            <v:imagedata r:id="rId5" o:title=""/>
          </v:shape>
          <w:control r:id="rId50" w:name="DefaultOcxName47" w:shapeid="_x0000_i1920"/>
        </w:object>
      </w:r>
      <w:r w:rsidR="005E11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5E1128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A02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Вексель не является эмиссионной ценной бумагой</w:t>
      </w:r>
    </w:p>
    <w:p w:rsidR="00F336D8" w:rsidRDefault="00F336D8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26F" w:rsidRPr="005A026F" w:rsidRDefault="005A026F" w:rsidP="005E112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394263"/>
          <w:sz w:val="24"/>
          <w:szCs w:val="24"/>
          <w:lang w:eastAsia="ru-RU"/>
        </w:rPr>
      </w:pPr>
      <w:r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11. Факторинговому обслуживанию не подлежат</w:t>
      </w:r>
      <w:r w:rsidRPr="005A026F">
        <w:rPr>
          <w:rFonts w:ascii="Times New Roman" w:eastAsia="Times New Roman" w:hAnsi="Times New Roman" w:cs="Times New Roman"/>
          <w:color w:val="394263"/>
          <w:sz w:val="24"/>
          <w:szCs w:val="24"/>
          <w:lang w:eastAsia="ru-RU"/>
        </w:rPr>
        <w:t>:</w:t>
      </w:r>
    </w:p>
    <w:p w:rsidR="005A026F" w:rsidRPr="00FF7838" w:rsidRDefault="005A026F" w:rsidP="005E1128">
      <w:pPr>
        <w:pStyle w:val="a3"/>
        <w:numPr>
          <w:ilvl w:val="0"/>
          <w:numId w:val="10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предприятия, практикующие бартерные </w:t>
      </w:r>
      <w:r w:rsidR="002E7899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сделки</w:t>
      </w:r>
    </w:p>
    <w:p w:rsidR="005A026F" w:rsidRPr="00FF7838" w:rsidRDefault="005A026F" w:rsidP="005E1128">
      <w:pPr>
        <w:pStyle w:val="a3"/>
        <w:numPr>
          <w:ilvl w:val="0"/>
          <w:numId w:val="10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 с небольшим количеством дебиторо</w:t>
      </w:r>
      <w:r w:rsidR="002E7899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5A026F" w:rsidRPr="00FF7838" w:rsidRDefault="005A026F" w:rsidP="005E1128">
      <w:pPr>
        <w:pStyle w:val="a3"/>
        <w:numPr>
          <w:ilvl w:val="0"/>
          <w:numId w:val="10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предприятия, занимающиеся производством стандартной продукци</w:t>
      </w:r>
      <w:r w:rsidR="002E7899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</w:p>
    <w:p w:rsidR="005A026F" w:rsidRPr="00FF7838" w:rsidRDefault="005A026F" w:rsidP="005E1128">
      <w:pPr>
        <w:pStyle w:val="a3"/>
        <w:numPr>
          <w:ilvl w:val="0"/>
          <w:numId w:val="10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предприятия, реализующие свою продукцию на предпродажной основе</w:t>
      </w:r>
    </w:p>
    <w:p w:rsidR="005A026F" w:rsidRPr="005A026F" w:rsidRDefault="005A026F" w:rsidP="005E112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</w:pPr>
      <w:r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12. Расходы факторинговой компании по оценке кредитоспособности снижаются во время:</w:t>
      </w:r>
    </w:p>
    <w:p w:rsidR="002E7899" w:rsidRPr="00FF7838" w:rsidRDefault="002E7899" w:rsidP="005E1128">
      <w:pPr>
        <w:pStyle w:val="a3"/>
        <w:numPr>
          <w:ilvl w:val="0"/>
          <w:numId w:val="11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предоплаты</w:t>
      </w:r>
    </w:p>
    <w:p w:rsidR="005A026F" w:rsidRPr="00FF7838" w:rsidRDefault="002E7899" w:rsidP="005E1128">
      <w:pPr>
        <w:pStyle w:val="a3"/>
        <w:numPr>
          <w:ilvl w:val="0"/>
          <w:numId w:val="11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агентских услуг</w:t>
      </w:r>
    </w:p>
    <w:p w:rsidR="005A026F" w:rsidRPr="00FF7838" w:rsidRDefault="002E7899" w:rsidP="005E1128">
      <w:pPr>
        <w:pStyle w:val="a3"/>
        <w:numPr>
          <w:ilvl w:val="0"/>
          <w:numId w:val="11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о полном обслуживании</w:t>
      </w:r>
    </w:p>
    <w:p w:rsidR="005A026F" w:rsidRPr="00FF7838" w:rsidRDefault="005A026F" w:rsidP="005E1128">
      <w:pPr>
        <w:pStyle w:val="a3"/>
        <w:numPr>
          <w:ilvl w:val="0"/>
          <w:numId w:val="11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о полном обслуживании с правом регресса</w:t>
      </w:r>
    </w:p>
    <w:p w:rsidR="005A026F" w:rsidRPr="005A026F" w:rsidRDefault="00534419" w:rsidP="005E112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13. </w:t>
      </w:r>
      <w:r w:rsidR="005A026F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Факторинг – это операция:</w:t>
      </w:r>
    </w:p>
    <w:p w:rsidR="005A026F" w:rsidRPr="00FF7838" w:rsidRDefault="005A026F" w:rsidP="005E1128">
      <w:pPr>
        <w:pStyle w:val="a3"/>
        <w:numPr>
          <w:ilvl w:val="0"/>
          <w:numId w:val="12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долгосрочной среды </w:t>
      </w:r>
      <w:r w:rsidR="002E7899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</w:t>
      </w:r>
    </w:p>
    <w:p w:rsidR="005A026F" w:rsidRPr="00FF7838" w:rsidRDefault="005A026F" w:rsidP="005E1128">
      <w:pPr>
        <w:pStyle w:val="a3"/>
        <w:numPr>
          <w:ilvl w:val="0"/>
          <w:numId w:val="12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переуступке банк или </w:t>
      </w:r>
      <w:proofErr w:type="spellStart"/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факторинговых</w:t>
      </w:r>
      <w:proofErr w:type="spellEnd"/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компаний неоплаченных</w:t>
      </w:r>
      <w:r w:rsidR="002E7899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долговых</w:t>
      </w: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7899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</w:t>
      </w:r>
    </w:p>
    <w:p w:rsidR="005A026F" w:rsidRPr="00FF7838" w:rsidRDefault="005A026F" w:rsidP="005E1128">
      <w:pPr>
        <w:pStyle w:val="a3"/>
        <w:numPr>
          <w:ilvl w:val="0"/>
          <w:numId w:val="12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долгосрочному вложению средств в отрасль или предприятие в целях получения </w:t>
      </w:r>
      <w:r w:rsidR="002E7899"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прибыли</w:t>
      </w:r>
    </w:p>
    <w:p w:rsidR="005A026F" w:rsidRPr="00FF7838" w:rsidRDefault="005A026F" w:rsidP="005E1128">
      <w:pPr>
        <w:pStyle w:val="a3"/>
        <w:numPr>
          <w:ilvl w:val="0"/>
          <w:numId w:val="12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FF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банк выступает в роли доверенного лица своих клиентов по поводу правления собственностью</w:t>
      </w:r>
    </w:p>
    <w:p w:rsidR="005A026F" w:rsidRPr="005A026F" w:rsidRDefault="00534419" w:rsidP="005E112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14. </w:t>
      </w:r>
      <w:r w:rsidR="005A026F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Виды факторинга:</w:t>
      </w:r>
    </w:p>
    <w:p w:rsidR="005A026F" w:rsidRPr="005E1128" w:rsidRDefault="005A026F" w:rsidP="005E1128">
      <w:pPr>
        <w:pStyle w:val="a3"/>
        <w:numPr>
          <w:ilvl w:val="0"/>
          <w:numId w:val="20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926" type="#_x0000_t75" style="width:20.05pt;height:18.15pt" o:ole="">
            <v:imagedata r:id="rId7" o:title=""/>
          </v:shape>
          <w:control r:id="rId51" w:name="DefaultOcxName49" w:shapeid="_x0000_i1926"/>
        </w:object>
      </w: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открытый</w:t>
      </w:r>
    </w:p>
    <w:p w:rsidR="005A026F" w:rsidRPr="005E1128" w:rsidRDefault="005A026F" w:rsidP="005E1128">
      <w:pPr>
        <w:pStyle w:val="a3"/>
        <w:numPr>
          <w:ilvl w:val="0"/>
          <w:numId w:val="20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925" type="#_x0000_t75" style="width:20.05pt;height:18.15pt" o:ole="">
            <v:imagedata r:id="rId7" o:title=""/>
          </v:shape>
          <w:control r:id="rId52" w:name="DefaultOcxName114" w:shapeid="_x0000_i1925"/>
        </w:object>
      </w: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закрытый</w:t>
      </w:r>
    </w:p>
    <w:p w:rsidR="005A026F" w:rsidRPr="005E1128" w:rsidRDefault="005A026F" w:rsidP="005E1128">
      <w:pPr>
        <w:pStyle w:val="a3"/>
        <w:numPr>
          <w:ilvl w:val="0"/>
          <w:numId w:val="20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05" w:dyaOrig="345">
          <v:shape id="_x0000_i1889" type="#_x0000_t75" style="width:20.05pt;height:18.15pt" o:ole="">
            <v:imagedata r:id="rId7" o:title=""/>
          </v:shape>
          <w:control r:id="rId53" w:name="DefaultOcxName213" w:shapeid="_x0000_i1889"/>
        </w:object>
      </w: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прикрытый</w:t>
      </w:r>
    </w:p>
    <w:p w:rsidR="005A026F" w:rsidRPr="005A026F" w:rsidRDefault="00534419" w:rsidP="005E112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15. </w:t>
      </w:r>
      <w:r w:rsidR="005A026F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Виды </w:t>
      </w:r>
      <w:proofErr w:type="spellStart"/>
      <w:r w:rsidR="005A026F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>факторинговых</w:t>
      </w:r>
      <w:proofErr w:type="spellEnd"/>
      <w:r w:rsidR="005A026F" w:rsidRPr="005A026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0EFF6"/>
          <w:lang w:eastAsia="ru-RU"/>
        </w:rPr>
        <w:t xml:space="preserve"> операций:</w:t>
      </w:r>
    </w:p>
    <w:p w:rsidR="00534419" w:rsidRPr="005E1128" w:rsidRDefault="00534419" w:rsidP="005E1128">
      <w:pPr>
        <w:pStyle w:val="a3"/>
        <w:numPr>
          <w:ilvl w:val="0"/>
          <w:numId w:val="21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</w:t>
      </w:r>
      <w:r w:rsidR="005A026F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нешние</w:t>
      </w:r>
    </w:p>
    <w:p w:rsidR="005A026F" w:rsidRPr="005E1128" w:rsidRDefault="005A026F" w:rsidP="005E1128">
      <w:pPr>
        <w:pStyle w:val="a3"/>
        <w:numPr>
          <w:ilvl w:val="0"/>
          <w:numId w:val="21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7899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нутренние</w:t>
      </w:r>
    </w:p>
    <w:p w:rsidR="005A026F" w:rsidRPr="005E1128" w:rsidRDefault="005A026F" w:rsidP="005E1128">
      <w:pPr>
        <w:pStyle w:val="a3"/>
        <w:numPr>
          <w:ilvl w:val="0"/>
          <w:numId w:val="21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</w:t>
      </w:r>
      <w:r w:rsidR="002E7899"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ленные</w:t>
      </w:r>
    </w:p>
    <w:p w:rsidR="005A026F" w:rsidRPr="005E1128" w:rsidRDefault="005A026F" w:rsidP="005E1128">
      <w:pPr>
        <w:pStyle w:val="a3"/>
        <w:numPr>
          <w:ilvl w:val="0"/>
          <w:numId w:val="21"/>
        </w:numPr>
        <w:spacing w:after="0" w:line="240" w:lineRule="auto"/>
        <w:ind w:left="0" w:firstLine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1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поверхностные</w:t>
      </w:r>
    </w:p>
    <w:p w:rsidR="005A026F" w:rsidRPr="005A026F" w:rsidRDefault="005A026F" w:rsidP="005E1128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A026F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5A026F" w:rsidRPr="005A026F" w:rsidRDefault="005A026F" w:rsidP="005E1128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A026F" w:rsidRPr="005A026F" w:rsidSect="00A70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68EF"/>
    <w:multiLevelType w:val="hybridMultilevel"/>
    <w:tmpl w:val="DA8CAA4E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ED337E"/>
    <w:multiLevelType w:val="hybridMultilevel"/>
    <w:tmpl w:val="5312295E"/>
    <w:lvl w:ilvl="0" w:tplc="04190015">
      <w:start w:val="1"/>
      <w:numFmt w:val="upperLetter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7F14769"/>
    <w:multiLevelType w:val="hybridMultilevel"/>
    <w:tmpl w:val="99AABE2E"/>
    <w:lvl w:ilvl="0" w:tplc="FD0E918E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FD719F"/>
    <w:multiLevelType w:val="hybridMultilevel"/>
    <w:tmpl w:val="71B81816"/>
    <w:lvl w:ilvl="0" w:tplc="46720BC2">
      <w:start w:val="6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E298C"/>
    <w:multiLevelType w:val="multilevel"/>
    <w:tmpl w:val="425C2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3743EE"/>
    <w:multiLevelType w:val="hybridMultilevel"/>
    <w:tmpl w:val="C4A20E68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B972BF"/>
    <w:multiLevelType w:val="hybridMultilevel"/>
    <w:tmpl w:val="C4A20E68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134ACB"/>
    <w:multiLevelType w:val="hybridMultilevel"/>
    <w:tmpl w:val="2D50CCEE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2029EA"/>
    <w:multiLevelType w:val="multilevel"/>
    <w:tmpl w:val="4ED8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0B4985"/>
    <w:multiLevelType w:val="hybridMultilevel"/>
    <w:tmpl w:val="5148B52C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283307"/>
    <w:multiLevelType w:val="hybridMultilevel"/>
    <w:tmpl w:val="62863918"/>
    <w:lvl w:ilvl="0" w:tplc="64EAE6E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4537C"/>
    <w:multiLevelType w:val="hybridMultilevel"/>
    <w:tmpl w:val="C4A20E68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180AEC"/>
    <w:multiLevelType w:val="multilevel"/>
    <w:tmpl w:val="5BD8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741064"/>
    <w:multiLevelType w:val="hybridMultilevel"/>
    <w:tmpl w:val="11BE10DC"/>
    <w:lvl w:ilvl="0" w:tplc="64EAE6E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592244"/>
    <w:multiLevelType w:val="hybridMultilevel"/>
    <w:tmpl w:val="9AC60F9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8B4288"/>
    <w:multiLevelType w:val="hybridMultilevel"/>
    <w:tmpl w:val="58CE6B2E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9820D5A"/>
    <w:multiLevelType w:val="multilevel"/>
    <w:tmpl w:val="D97C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762287"/>
    <w:multiLevelType w:val="multilevel"/>
    <w:tmpl w:val="7752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2D5959"/>
    <w:multiLevelType w:val="hybridMultilevel"/>
    <w:tmpl w:val="7174FDF6"/>
    <w:lvl w:ilvl="0" w:tplc="59360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6A7E99"/>
    <w:multiLevelType w:val="hybridMultilevel"/>
    <w:tmpl w:val="03F0565C"/>
    <w:lvl w:ilvl="0" w:tplc="46720BC2">
      <w:start w:val="6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A13D0A"/>
    <w:multiLevelType w:val="hybridMultilevel"/>
    <w:tmpl w:val="B59A5E7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9"/>
  </w:num>
  <w:num w:numId="4">
    <w:abstractNumId w:val="18"/>
  </w:num>
  <w:num w:numId="5">
    <w:abstractNumId w:val="17"/>
  </w:num>
  <w:num w:numId="6">
    <w:abstractNumId w:val="12"/>
  </w:num>
  <w:num w:numId="7">
    <w:abstractNumId w:val="16"/>
  </w:num>
  <w:num w:numId="8">
    <w:abstractNumId w:val="4"/>
  </w:num>
  <w:num w:numId="9">
    <w:abstractNumId w:val="8"/>
  </w:num>
  <w:num w:numId="10">
    <w:abstractNumId w:val="7"/>
  </w:num>
  <w:num w:numId="11">
    <w:abstractNumId w:val="9"/>
  </w:num>
  <w:num w:numId="12">
    <w:abstractNumId w:val="6"/>
  </w:num>
  <w:num w:numId="13">
    <w:abstractNumId w:val="20"/>
  </w:num>
  <w:num w:numId="14">
    <w:abstractNumId w:val="14"/>
  </w:num>
  <w:num w:numId="15">
    <w:abstractNumId w:val="1"/>
  </w:num>
  <w:num w:numId="16">
    <w:abstractNumId w:val="10"/>
  </w:num>
  <w:num w:numId="17">
    <w:abstractNumId w:val="13"/>
  </w:num>
  <w:num w:numId="18">
    <w:abstractNumId w:val="0"/>
  </w:num>
  <w:num w:numId="19">
    <w:abstractNumId w:val="15"/>
  </w:num>
  <w:num w:numId="20">
    <w:abstractNumId w:val="5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36D8"/>
    <w:rsid w:val="002E7899"/>
    <w:rsid w:val="00534419"/>
    <w:rsid w:val="005A026F"/>
    <w:rsid w:val="005E1128"/>
    <w:rsid w:val="00A70644"/>
    <w:rsid w:val="00F336D8"/>
    <w:rsid w:val="00FF7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644"/>
  </w:style>
  <w:style w:type="paragraph" w:styleId="3">
    <w:name w:val="heading 3"/>
    <w:basedOn w:val="a"/>
    <w:link w:val="30"/>
    <w:uiPriority w:val="9"/>
    <w:qFormat/>
    <w:rsid w:val="005A02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6D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A02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A02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A026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A02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A026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Document Map"/>
    <w:basedOn w:val="a"/>
    <w:link w:val="a5"/>
    <w:uiPriority w:val="99"/>
    <w:semiHidden/>
    <w:unhideWhenUsed/>
    <w:rsid w:val="00534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5344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4916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36478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6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098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2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40215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694053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8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67590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305886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6298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2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0122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5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723726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9207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36114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164662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9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58072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6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19402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574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1770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851452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99907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2015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429450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9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84747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046782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15427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49063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901907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5541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4741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721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65888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39329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6687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3536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56441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2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120128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97054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59835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04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4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95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2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5079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274315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5752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37774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4287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1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08839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95567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169491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0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222149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236886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9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8110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93035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5021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668012">
          <w:marLeft w:val="0"/>
          <w:marRight w:val="0"/>
          <w:marTop w:val="38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9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image" Target="media/image3.wmf"/><Relationship Id="rId39" Type="http://schemas.openxmlformats.org/officeDocument/2006/relationships/control" Target="activeX/activeX32.xml"/><Relationship Id="rId21" Type="http://schemas.openxmlformats.org/officeDocument/2006/relationships/control" Target="activeX/activeX15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2.xml"/><Relationship Id="rId41" Type="http://schemas.openxmlformats.org/officeDocument/2006/relationships/control" Target="activeX/activeX34.xm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8" Type="http://schemas.openxmlformats.org/officeDocument/2006/relationships/control" Target="activeX/activeX2.xml"/><Relationship Id="rId51" Type="http://schemas.openxmlformats.org/officeDocument/2006/relationships/control" Target="activeX/activeX44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GiziatovaASh</dc:creator>
  <cp:lastModifiedBy>GiziatovaASh</cp:lastModifiedBy>
  <cp:revision>2</cp:revision>
  <dcterms:created xsi:type="dcterms:W3CDTF">2019-12-13T08:25:00Z</dcterms:created>
  <dcterms:modified xsi:type="dcterms:W3CDTF">2019-12-13T08:25:00Z</dcterms:modified>
</cp:coreProperties>
</file>