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lang w:val="en-US"/>
        </w:rPr>
      </w:pPr>
      <w:r>
        <w:rPr>
          <w:b/>
          <w:sz w:val="28"/>
          <w:lang w:val="en-US"/>
        </w:rPr>
      </w:r>
    </w:p>
    <w:p>
      <w:pPr>
        <w:pStyle w:val="Normal"/>
        <w:bidi w:val="0"/>
        <w:spacing w:lineRule="auto" w:line="240"/>
        <w:jc w:val="center"/>
        <w:rPr>
          <w:lang w:val="ru-RU"/>
        </w:rPr>
      </w:pPr>
      <w:r>
        <w:rPr>
          <w:rFonts w:ascii="Times New Roman CYR" w:hAnsi="Times New Roman CYR"/>
          <w:b/>
          <w:sz w:val="28"/>
          <w:lang w:val="ru-RU"/>
        </w:rPr>
        <w:t>ТЕСТЫ ПО ФИНАНСОВОМУ МЕНЕДЖМЕНТУ</w:t>
      </w:r>
    </w:p>
    <w:p>
      <w:pPr>
        <w:pStyle w:val="Normal"/>
        <w:bidi w:val="0"/>
        <w:spacing w:lineRule="auto" w:line="240"/>
        <w:jc w:val="center"/>
        <w:rPr>
          <w:lang w:val="en-US"/>
        </w:rPr>
      </w:pPr>
      <w:r>
        <w:rPr>
          <w:b/>
          <w:sz w:val="28"/>
          <w:u w:val="single"/>
          <w:lang w:val="en-US"/>
        </w:rPr>
        <w:t>(</w:t>
      </w:r>
      <w:r>
        <w:rPr>
          <w:rFonts w:ascii="Times New Roman CYR" w:hAnsi="Times New Roman CYR"/>
          <w:b/>
          <w:sz w:val="28"/>
          <w:u w:val="single"/>
          <w:lang w:val="ru-RU"/>
        </w:rPr>
        <w:t>в каждом вопросе – один правильный ответ)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>
          <w:lang w:val="en-US"/>
        </w:rPr>
      </w:pPr>
      <w:r>
        <w:rPr>
          <w:b/>
          <w:sz w:val="28"/>
          <w:u w:val="none"/>
          <w:lang w:val="en-US"/>
        </w:rPr>
        <w:t>11</w:t>
      </w:r>
      <w:r>
        <w:rPr>
          <w:b w:val="false"/>
          <w:sz w:val="28"/>
          <w:u w:val="none"/>
          <w:lang w:val="en-US"/>
        </w:rPr>
        <w:t xml:space="preserve">. </w:t>
      </w:r>
      <w:r>
        <w:rPr>
          <w:rFonts w:ascii="Times New Roman CYR" w:hAnsi="Times New Roman CYR"/>
          <w:b/>
          <w:sz w:val="28"/>
          <w:u w:val="none"/>
          <w:lang w:val="ru-RU"/>
        </w:rPr>
        <w:t xml:space="preserve">Имущество организации </w:t>
      </w:r>
      <w:r>
        <w:rPr>
          <w:rFonts w:ascii="Times New Roman CYR" w:hAnsi="Times New Roman CYR"/>
          <w:b/>
          <w:sz w:val="28"/>
          <w:u w:val="single"/>
          <w:lang w:val="ru-RU"/>
        </w:rPr>
        <w:t>в активе</w:t>
      </w:r>
      <w:r>
        <w:rPr>
          <w:rFonts w:ascii="Times New Roman CYR" w:hAnsi="Times New Roman CYR"/>
          <w:b/>
          <w:sz w:val="28"/>
          <w:u w:val="none"/>
          <w:lang w:val="ru-RU"/>
        </w:rPr>
        <w:t xml:space="preserve"> бухгалтерского баланса по российским стандартам отчетности отражается по: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убывающей ликвидности;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возрастающей ликвидности;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ускорения оборачиваемости;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г) срочности.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>
          <w:lang w:val="en-US"/>
        </w:rPr>
      </w:pPr>
      <w:r>
        <w:rPr>
          <w:b/>
          <w:sz w:val="28"/>
          <w:u w:val="none"/>
          <w:lang w:val="en-US"/>
        </w:rPr>
        <w:t xml:space="preserve">12. </w:t>
      </w:r>
      <w:r>
        <w:rPr>
          <w:rFonts w:ascii="Times New Roman CYR" w:hAnsi="Times New Roman CYR"/>
          <w:b/>
          <w:sz w:val="28"/>
          <w:u w:val="none"/>
          <w:lang w:val="ru-RU"/>
        </w:rPr>
        <w:t xml:space="preserve">К денежным средствам организации относят: 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деньги в кассе, на расчетных и депозитных счетах (в том числе в валюте);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средства, полученные в виде выручки от продажи продукции, товаров, работа, услуг;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доходы и выгоды организации.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>
          <w:lang w:val="en-US"/>
        </w:rPr>
      </w:pPr>
      <w:r>
        <w:rPr>
          <w:b/>
          <w:sz w:val="28"/>
          <w:u w:val="none"/>
          <w:lang w:val="en-US"/>
        </w:rPr>
        <w:t xml:space="preserve">13. </w:t>
      </w:r>
      <w:r>
        <w:rPr>
          <w:rFonts w:ascii="Times New Roman CYR" w:hAnsi="Times New Roman CYR"/>
          <w:b/>
          <w:sz w:val="28"/>
          <w:u w:val="none"/>
          <w:lang w:val="ru-RU"/>
        </w:rPr>
        <w:t xml:space="preserve">Экономические ресурсы предприятия в форме </w:t>
      </w:r>
      <w:r>
        <w:rPr>
          <w:rFonts w:ascii="Times New Roman CYR" w:hAnsi="Times New Roman CYR"/>
          <w:b/>
          <w:sz w:val="28"/>
          <w:u w:val="single"/>
          <w:lang w:val="ru-RU"/>
        </w:rPr>
        <w:t>совокупных имущественных ценностей</w:t>
      </w:r>
      <w:r>
        <w:rPr>
          <w:rFonts w:ascii="Times New Roman CYR" w:hAnsi="Times New Roman CYR"/>
          <w:b/>
          <w:sz w:val="28"/>
          <w:u w:val="none"/>
          <w:lang w:val="ru-RU"/>
        </w:rPr>
        <w:t>, используемых в хозяйственной деятельности с целью получения прибыли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пассивы;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денежные средства;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активы;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г) основные средства.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left"/>
        <w:rPr>
          <w:lang w:val="en-US"/>
        </w:rPr>
      </w:pPr>
      <w:r>
        <w:rPr>
          <w:b/>
          <w:sz w:val="28"/>
          <w:u w:val="none"/>
          <w:lang w:val="en-US"/>
        </w:rPr>
        <w:t xml:space="preserve">14. </w:t>
      </w:r>
      <w:r>
        <w:rPr>
          <w:rFonts w:ascii="Times New Roman CYR" w:hAnsi="Times New Roman CYR"/>
          <w:b/>
          <w:sz w:val="28"/>
          <w:u w:val="none"/>
          <w:lang w:val="ru-RU"/>
        </w:rPr>
        <w:t>Наиболее ликвидные активы предприятия — это: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уставный капитал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дебиторская задолженность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денежные средства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left"/>
        <w:rPr>
          <w:lang w:val="en-US"/>
        </w:rPr>
      </w:pPr>
      <w:r>
        <w:rPr>
          <w:b/>
          <w:sz w:val="28"/>
          <w:u w:val="none"/>
          <w:lang w:val="en-US"/>
        </w:rPr>
        <w:t xml:space="preserve">15. </w:t>
      </w:r>
      <w:r>
        <w:rPr>
          <w:rFonts w:ascii="Times New Roman CYR" w:hAnsi="Times New Roman CYR"/>
          <w:b/>
          <w:sz w:val="28"/>
          <w:u w:val="none"/>
          <w:lang w:val="ru-RU"/>
        </w:rPr>
        <w:t>Прибыль – это показатель: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рентабельности производства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эффективности производства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экономического эффекта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b/>
          <w:sz w:val="28"/>
          <w:u w:val="none"/>
          <w:lang w:val="en-US"/>
        </w:rPr>
        <w:t xml:space="preserve">16. </w:t>
      </w:r>
      <w:r>
        <w:rPr>
          <w:rFonts w:ascii="Times New Roman CYR" w:hAnsi="Times New Roman CYR"/>
          <w:b/>
          <w:sz w:val="28"/>
          <w:u w:val="none"/>
          <w:lang w:val="ru-RU"/>
        </w:rPr>
        <w:t>Прибыль (убыток) от продаж формируется как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разница между выручкой от продаж и себестоимостью продаж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валовая прибыль минус постоянные расходы организации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прибыль до налогообложения минус текущий налог на прибыль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b/>
          <w:sz w:val="28"/>
          <w:u w:val="none"/>
          <w:lang w:val="en-US"/>
        </w:rPr>
        <w:t xml:space="preserve">17. </w:t>
      </w:r>
      <w:r>
        <w:rPr>
          <w:rFonts w:ascii="Times New Roman CYR" w:hAnsi="Times New Roman CYR"/>
          <w:b/>
          <w:sz w:val="28"/>
          <w:u w:val="none"/>
          <w:lang w:val="ru-RU"/>
        </w:rPr>
        <w:t>Дебиторская задолженность отражается в бухгалтерской отчетности как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актив бухгалтерского баланса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пассив бухгалтерского баланса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расход организации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b/>
          <w:sz w:val="28"/>
          <w:u w:val="none"/>
          <w:lang w:val="en-US"/>
        </w:rPr>
        <w:t xml:space="preserve">18. </w:t>
      </w:r>
      <w:r>
        <w:rPr>
          <w:rFonts w:ascii="Times New Roman CYR" w:hAnsi="Times New Roman CYR"/>
          <w:b/>
          <w:sz w:val="28"/>
          <w:u w:val="none"/>
          <w:lang w:val="ru-RU"/>
        </w:rPr>
        <w:t xml:space="preserve">Денежные документы, удостоверяющие право собственности или займа владельца документа по отношению к лицу, выпустившему такой документ (эмитенту) и несущие по нему обязательства </w:t>
      </w:r>
      <w:r>
        <w:rPr>
          <w:rFonts w:ascii="Times New Roman CYR" w:hAnsi="Times New Roman CYR"/>
          <w:b/>
          <w:sz w:val="28"/>
          <w:u w:val="single"/>
          <w:lang w:val="ru-RU"/>
        </w:rPr>
        <w:t>называются</w:t>
      </w:r>
      <w:r>
        <w:rPr>
          <w:rFonts w:ascii="Times New Roman CYR" w:hAnsi="Times New Roman CYR"/>
          <w:b/>
          <w:sz w:val="28"/>
          <w:u w:val="none"/>
          <w:lang w:val="ru-RU"/>
        </w:rPr>
        <w:t>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краткосрочными финансовыми вложениями;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ценными бумагами;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долгосрочными финансовыми вложениями.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>
          <w:lang w:val="en-US"/>
        </w:rPr>
      </w:pPr>
      <w:r>
        <w:rPr>
          <w:b/>
          <w:sz w:val="28"/>
          <w:u w:val="none"/>
          <w:lang w:val="en-US"/>
        </w:rPr>
        <w:t xml:space="preserve">19. </w:t>
      </w:r>
      <w:r>
        <w:rPr>
          <w:rFonts w:ascii="Times New Roman CYR" w:hAnsi="Times New Roman CYR"/>
          <w:b/>
          <w:sz w:val="28"/>
          <w:u w:val="none"/>
          <w:lang w:val="ru-RU"/>
        </w:rPr>
        <w:t>Бенчмаркинг как метод применяют с целью: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оценки рентабельности продаж организации на текущую дату;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анализа и оценки бизнес-процесса в сравнении с эталонным значением;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повышения прибыли организации.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/>
          <w:b/>
          <w:sz w:val="28"/>
          <w:u w:val="none"/>
          <w:lang w:val="en-US"/>
        </w:rPr>
      </w:pPr>
      <w:r>
        <w:rPr>
          <w:b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jc w:val="both"/>
        <w:rPr>
          <w:lang w:val="en-US"/>
        </w:rPr>
      </w:pPr>
      <w:r>
        <w:rPr>
          <w:b/>
          <w:sz w:val="28"/>
          <w:u w:val="none"/>
          <w:lang w:val="en-US"/>
        </w:rPr>
        <w:t xml:space="preserve">20. </w:t>
      </w:r>
      <w:r>
        <w:rPr>
          <w:rFonts w:ascii="Times New Roman CYR" w:hAnsi="Times New Roman CYR"/>
          <w:b/>
          <w:sz w:val="28"/>
          <w:u w:val="none"/>
          <w:lang w:val="ru-RU"/>
        </w:rPr>
        <w:t>Инвесторов, приобретающих обыкновенные акции организации, интересует, в первую очередь, прибыль:</w:t>
      </w:r>
    </w:p>
    <w:p>
      <w:pPr>
        <w:pStyle w:val="Normal"/>
        <w:bidi w:val="0"/>
        <w:spacing w:lineRule="auto" w:line="240"/>
        <w:ind w:firstLine="567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а) валовая прибыль;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б) операционная прибыль (прибыль от продаж);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в) прибыль до налогообложения;</w:t>
      </w:r>
    </w:p>
    <w:p>
      <w:pPr>
        <w:pStyle w:val="Normal"/>
        <w:bidi w:val="0"/>
        <w:spacing w:lineRule="auto" w:line="240"/>
        <w:ind w:firstLine="567"/>
        <w:jc w:val="both"/>
        <w:rPr>
          <w:lang w:val="ru-RU"/>
        </w:rPr>
      </w:pPr>
      <w:r>
        <w:rPr>
          <w:rFonts w:ascii="Times New Roman CYR" w:hAnsi="Times New Roman CYR"/>
          <w:b w:val="false"/>
          <w:sz w:val="28"/>
          <w:u w:val="none"/>
          <w:lang w:val="ru-RU"/>
        </w:rPr>
        <w:t>г) нераспределенная прибыль.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b w:val="false"/>
          <w:b w:val="false"/>
          <w:sz w:val="28"/>
          <w:u w:val="none"/>
          <w:lang w:val="en-US"/>
        </w:rPr>
      </w:pPr>
      <w:r>
        <w:rPr>
          <w:b w:val="false"/>
          <w:sz w:val="28"/>
          <w:u w:val="none"/>
          <w:lang w:val="en-US"/>
        </w:rPr>
      </w:r>
    </w:p>
    <w:p>
      <w:pPr>
        <w:pStyle w:val="Normal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 CYR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DejaVu Sans" w:cs="DejaVu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LibreOffice/7.0.6.2$Linux_X86_64 LibreOffice_project/00$Build-2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