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7DC" w:rsidRPr="002937DC" w:rsidRDefault="002937DC" w:rsidP="00293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93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I. Задание на расчетно-графическую работу</w:t>
      </w:r>
    </w:p>
    <w:p w:rsidR="002937DC" w:rsidRPr="002937DC" w:rsidRDefault="002937DC" w:rsidP="00293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93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Расчётно-графическая работа (РГР) на тему «Расчет статически неопределимой рамы на прочность» состоит из двух задач:</w:t>
      </w:r>
    </w:p>
    <w:p w:rsidR="002937DC" w:rsidRPr="002937DC" w:rsidRDefault="002937DC" w:rsidP="00293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93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на прочность плоской статически неопределимой рамы методом сил.</w:t>
      </w:r>
    </w:p>
    <w:p w:rsidR="002937DC" w:rsidRPr="002937DC" w:rsidRDefault="002937DC" w:rsidP="00293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93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на прочность плоской статически неопределимой рамы методом перемещений.</w:t>
      </w:r>
    </w:p>
    <w:p w:rsidR="002937DC" w:rsidRDefault="002937DC" w:rsidP="002937D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II. Требования к оформлению расчётно-графической работы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РГР выполняется на одной стороне листов формата А4, имеющих рамку, которая вычерчивается сплошной толстой основной линией. Линия рамки располагается от линии обрезки листа на расстояниях: слева – 20 мм, справа, сверху и снизу – 5 мм.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 содержит информацию, перечень которой показан на примере </w:t>
      </w:r>
      <w:hyperlink r:id="rId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рисунка 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Последующие листы должны содержать рамку, в правом нижнем углу которой в прямоугольнике размером 8×8 мм должен быть вписан номер листа.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 этих листов должно быть разделено на разделы и подразделы, которые нумеруются в пределах каждого раздела.</w:t>
      </w:r>
    </w:p>
    <w:p w:rsidR="002937DC" w:rsidRDefault="002937DC" w:rsidP="002937D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III. Расчётно-графическая работа</w:t>
      </w:r>
    </w:p>
    <w:p w:rsidR="002937DC" w:rsidRDefault="002937DC" w:rsidP="002937DC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Задача № 1.1. Расчет статически неопределимой рамы на прочность. Метод сил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заданной расчетной схемы плоской статически неопределимой рамы сложной структуры необходимо: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 полный кинематический анализ и установить степень статической неопределимости двумя способами: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1.1. По формуле Чебышева.</w:t>
      </w:r>
      <w:r>
        <w:rPr>
          <w:rFonts w:ascii="Arial" w:hAnsi="Arial" w:cs="Arial"/>
          <w:color w:val="000000"/>
          <w:sz w:val="21"/>
          <w:szCs w:val="21"/>
        </w:rPr>
        <w:br/>
        <w:t>1.2. По формуле контуров.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Выбрать основную систему метода сил: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 Предложить не менее 3-х вариантов основных систем метода сил.</w:t>
      </w:r>
      <w:r>
        <w:rPr>
          <w:rFonts w:ascii="Arial" w:hAnsi="Arial" w:cs="Arial"/>
          <w:color w:val="000000"/>
          <w:sz w:val="21"/>
          <w:szCs w:val="21"/>
        </w:rPr>
        <w:br/>
        <w:t>2.2. Обосновать выбор одной из ОСМС для последующего раскрытия статической неопределимости.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Реализовать матричную форму метода сил для выбранной основной системы в предположении, что определяющим силовым фактором в ее сечениях является изгибающий момент.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эпюры усилий </w:t>
      </w:r>
      <w:r>
        <w:rPr>
          <w:rStyle w:val="form"/>
          <w:i/>
          <w:iCs/>
          <w:color w:val="000000"/>
          <w:sz w:val="26"/>
          <w:szCs w:val="26"/>
        </w:rPr>
        <w:t>M, Q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 заданной расчетной схеме: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 Построить эпюру поперечных сил методом графического дифференцирования эпюры изгибающих моментов.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4.2. Построить эпюру продольных усилий методом вырезания узлов на эпюре поперечных усилий.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реакции внешних связей в заданной расчетной схеме по построенным эпюрам усилий.</w:t>
      </w:r>
    </w:p>
    <w:p w:rsidR="002937DC" w:rsidRDefault="002937DC" w:rsidP="00293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контроль правильности полученных результатов: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 Проверить равновесие части ЗРС с использованием найденных реакций лишних связей и опорных реакций.</w:t>
      </w:r>
      <w:r>
        <w:rPr>
          <w:rFonts w:ascii="Arial" w:hAnsi="Arial" w:cs="Arial"/>
          <w:color w:val="000000"/>
          <w:sz w:val="21"/>
          <w:szCs w:val="21"/>
        </w:rPr>
        <w:br/>
        <w:t>6.2. Оценить погрешность полученных результатов.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достижения поставленных целей следует воспользоваться алгоритмическим предписанием, представленным на рисунке 2.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реализации этого алгоритмического предписания приведен в [1] (</w:t>
      </w:r>
      <w:hyperlink r:id="rId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глава 8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пример должен быть внимательно изучен.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особое внимание на этапы решения, связанные с контролем выполняемых действий и получаемых результатов (см. рисунок 2, поиск и исправление ошибок).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случае, когда расчетная схема является фермой, следует помнить, что определяющей эпюрой является эпюры (таблица) усилий в стержнях фермы. Матричные формулы имеют тот же вид, что и для рам. Однако матрица податливости является диагональной и содержит для каждого стержня элемент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типа 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proofErr w:type="gramEnd"/>
      <w:r>
        <w:rPr>
          <w:rStyle w:val="form"/>
          <w:i/>
          <w:iCs/>
          <w:color w:val="000000"/>
          <w:sz w:val="26"/>
          <w:szCs w:val="26"/>
        </w:rPr>
        <w:t>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где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– № участка дискретизации, который для фермы совпадает с каждым отдельным стержнем.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Необходимо также отметить, что проверки правильности вычисления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членов  канонической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системы уравнений по методу сил фактически сводятся к проверке правильности вычислительных операций. Т.е. они могут показывать требуемые результаты для неверно построенных эпюр в основной системе метода сил.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Поэтому действительно эффективной проверкой является решение задачи другим методом. Например, методом перемещений.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Напомним также, что для решения задачи о вычислении перемещений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статически  неопределимых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системах достаточно иметь эпюру определяющих усилий в ЗРС и направляющие эпюры в любой основной системе метода сил, которая может быть  построена для заданной расчетной схемы.</w:t>
      </w:r>
    </w:p>
    <w:p w:rsidR="002937DC" w:rsidRDefault="002937DC" w:rsidP="002937DC">
      <w:pPr>
        <w:ind w:hanging="993"/>
      </w:pPr>
      <w:r>
        <w:rPr>
          <w:noProof/>
          <w:lang w:eastAsia="ru-RU"/>
        </w:rPr>
        <w:lastRenderedPageBreak/>
        <w:drawing>
          <wp:inline distT="0" distB="0" distL="0" distR="0" wp14:anchorId="037EC29F" wp14:editId="7E5C54C6">
            <wp:extent cx="6828151" cy="4026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4304" cy="40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7DC" w:rsidRPr="002937DC" w:rsidRDefault="002937DC" w:rsidP="002937DC"/>
    <w:p w:rsidR="002937DC" w:rsidRDefault="002937DC" w:rsidP="002937DC"/>
    <w:p w:rsidR="002937DC" w:rsidRDefault="002937DC" w:rsidP="002937DC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Задача № 1.2. Расчет статически неопределимой рамы на прочность. Метод перемещений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заданной расчетной схемы плоской рамы сложной структуры необходимо:</w:t>
      </w:r>
    </w:p>
    <w:p w:rsidR="002937DC" w:rsidRDefault="002937DC" w:rsidP="00293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кинематический анализ в следующем объеме: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1.1. Доказать мгновенную неизменяемость заданной расчетной схемы.</w:t>
      </w:r>
      <w:r>
        <w:rPr>
          <w:rFonts w:ascii="Arial" w:hAnsi="Arial" w:cs="Arial"/>
          <w:color w:val="000000"/>
          <w:sz w:val="21"/>
          <w:szCs w:val="21"/>
        </w:rPr>
        <w:br/>
        <w:t>1.2. Установить степень кинематической  неопределимости заданной расчетной схемы по угловым и линейным перемещениям.</w:t>
      </w:r>
    </w:p>
    <w:p w:rsidR="002937DC" w:rsidRDefault="002937DC" w:rsidP="00293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Назначить основную систему метода перемещений.</w:t>
      </w:r>
    </w:p>
    <w:p w:rsidR="002937DC" w:rsidRDefault="002937DC" w:rsidP="00293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эпюры усилий в заданной расчетной схеме: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 От действия заданной статической нагрузки.</w:t>
      </w:r>
      <w:r>
        <w:rPr>
          <w:rFonts w:ascii="Arial" w:hAnsi="Arial" w:cs="Arial"/>
          <w:color w:val="000000"/>
          <w:sz w:val="21"/>
          <w:szCs w:val="21"/>
        </w:rPr>
        <w:br/>
        <w:t>3.2. От действия каждого из перемещений, запрещенных дополнительными связями, полагая его значение равным единичному.</w:t>
      </w:r>
    </w:p>
    <w:p w:rsidR="002937DC" w:rsidRDefault="002937DC" w:rsidP="00293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Построить эпюру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изгибающих  моментов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используя алгоритм  метода перемещений с вычислением элементов канонической системы уравнений через условия равновесия узлов с дополнительными связями.</w:t>
      </w:r>
    </w:p>
    <w:p w:rsidR="002937DC" w:rsidRDefault="002937DC" w:rsidP="00293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контроль правильности полученных результатов:</w:t>
      </w:r>
    </w:p>
    <w:p w:rsidR="002937DC" w:rsidRDefault="002937DC" w:rsidP="002937DC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 Проверить равновесие части заданной расчетной схемы.</w:t>
      </w:r>
      <w:r>
        <w:rPr>
          <w:rFonts w:ascii="Arial" w:hAnsi="Arial" w:cs="Arial"/>
          <w:color w:val="000000"/>
          <w:sz w:val="21"/>
          <w:szCs w:val="21"/>
        </w:rPr>
        <w:br/>
        <w:t>5.2. Оценить погрешность полученных результатов.</w:t>
      </w:r>
    </w:p>
    <w:p w:rsidR="002937DC" w:rsidRDefault="002937DC" w:rsidP="00293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Для достижения поставленных целей следует воспользоваться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алгоритмическим  предписанием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представленным на рисунке 3.</w:t>
      </w:r>
    </w:p>
    <w:p w:rsidR="009F542B" w:rsidRDefault="002937DC" w:rsidP="002937DC">
      <w:pPr>
        <w:ind w:hanging="1134"/>
      </w:pPr>
      <w:r>
        <w:rPr>
          <w:noProof/>
          <w:lang w:eastAsia="ru-RU"/>
        </w:rPr>
        <w:drawing>
          <wp:inline distT="0" distB="0" distL="0" distR="0" wp14:anchorId="3F99B982" wp14:editId="0F91200E">
            <wp:extent cx="7153091" cy="384760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64600" cy="38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B47" w:rsidRPr="000D0B47" w:rsidRDefault="000D0B47" w:rsidP="000D0B4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реализации этого алгоритмического предписания приведен в [1] (</w:t>
      </w:r>
      <w:hyperlink r:id="rId9" w:tgtFrame="_blank" w:history="1">
        <w:r w:rsidRPr="000D0B4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глава 9</w:t>
        </w:r>
      </w:hyperlink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0D0B47" w:rsidRPr="000D0B47" w:rsidRDefault="000D0B47" w:rsidP="000D0B4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пример должен быть внимательно изучен.</w:t>
      </w:r>
    </w:p>
    <w:p w:rsidR="000D0B47" w:rsidRPr="000D0B47" w:rsidRDefault="000D0B47" w:rsidP="000D0B4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особое внимание на этапы решения, связанные с контролем выполняемых действий и получаемых результатов (см. рисунок 3, поиск и исправление ошибок).</w:t>
      </w:r>
    </w:p>
    <w:p w:rsidR="000D0B47" w:rsidRPr="000D0B47" w:rsidRDefault="000D0B47" w:rsidP="000D0B4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Кроме того, важно понимать, что метод перемещений может быть применен не только к раскрытию статической неопределимости, но и к расчету статически </w:t>
      </w:r>
      <w:proofErr w:type="gram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определимых  систем</w:t>
      </w:r>
      <w:proofErr w:type="gram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как дополнительные связи по изгибающему моменту могут быть поставлены в любом сечении участка, которые не имеет дефекта связи по моменту.</w:t>
      </w:r>
    </w:p>
    <w:p w:rsidR="000D0B47" w:rsidRDefault="000D0B47" w:rsidP="000D0B4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Приложение</w:t>
      </w:r>
    </w:p>
    <w:p w:rsidR="000D0B47" w:rsidRDefault="000D0B47" w:rsidP="000D0B4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Приложение. Задание на РГР (</w:t>
      </w:r>
      <w:hyperlink r:id="rId10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0D0B47" w:rsidRPr="000D0B47" w:rsidRDefault="000D0B47" w:rsidP="000D0B4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D0B4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:rsidR="000D0B47" w:rsidRPr="000D0B47" w:rsidRDefault="000D0B47" w:rsidP="000D0B47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Теличко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Г.Н. Тульский государственный университет. Основы строительной механики плоских стержневых </w:t>
      </w:r>
      <w:proofErr w:type="gram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 :</w:t>
      </w:r>
      <w:proofErr w:type="gram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сред. учеб. заведений / Г.Н.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Теличко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– Тула, </w:t>
      </w:r>
      <w:proofErr w:type="gram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2004.–</w:t>
      </w:r>
      <w:proofErr w:type="gram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440с. : ил. – (Навстречу 75-летнему юбилею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). – </w:t>
      </w:r>
      <w:proofErr w:type="spell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5-7679-0451-0 /в пер.</w:t>
      </w:r>
      <w:proofErr w:type="gramStart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0D0B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120.00.</w:t>
      </w:r>
    </w:p>
    <w:p w:rsidR="000D0B47" w:rsidRPr="002937DC" w:rsidRDefault="000D0B47" w:rsidP="002937DC">
      <w:pPr>
        <w:ind w:hanging="1134"/>
      </w:pPr>
      <w:bookmarkStart w:id="0" w:name="_GoBack"/>
      <w:bookmarkEnd w:id="0"/>
    </w:p>
    <w:sectPr w:rsidR="000D0B47" w:rsidRPr="00293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60D"/>
    <w:multiLevelType w:val="multilevel"/>
    <w:tmpl w:val="85187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A52E1"/>
    <w:multiLevelType w:val="multilevel"/>
    <w:tmpl w:val="AE64B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3C5A5A"/>
    <w:multiLevelType w:val="multilevel"/>
    <w:tmpl w:val="0494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114C8C"/>
    <w:multiLevelType w:val="multilevel"/>
    <w:tmpl w:val="A4002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8B"/>
    <w:rsid w:val="000D0B47"/>
    <w:rsid w:val="002937DC"/>
    <w:rsid w:val="006B7E8B"/>
    <w:rsid w:val="009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777E0"/>
  <w15:chartTrackingRefBased/>
  <w15:docId w15:val="{1DDB1F89-5B18-42E1-8620-E8330112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37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37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29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37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93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29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293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599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887314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21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36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231468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1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99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003455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13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0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50715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06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1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63426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5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124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738117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3172/mod_resource/content/2/rgr/rgr_3/telichko_part8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53172/mod_resource/content/2/rgr/rgr_2/title.docx" TargetMode="External"/><Relationship Id="rId10" Type="http://schemas.openxmlformats.org/officeDocument/2006/relationships/hyperlink" Target="https://i-institute.tsu.tula.ru/moodle/pluginfile.php/153172/mod_resource/content/2/rgr/rgr_5/zadanie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53172/mod_resource/content/2/rgr/rgr_3/telichko_part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948</Words>
  <Characters>5404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2022-08-17T06:29:00Z</dcterms:created>
  <dcterms:modified xsi:type="dcterms:W3CDTF">2022-08-17T06:33:00Z</dcterms:modified>
</cp:coreProperties>
</file>