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CE2804" w:rsidRPr="00CE2804" w:rsidTr="00CE2804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CE2804" w:rsidRPr="00CE2804" w:rsidRDefault="00CE2804" w:rsidP="00CE280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 5 семестр</w:t>
            </w:r>
          </w:p>
        </w:tc>
      </w:tr>
      <w:tr w:rsidR="00CE2804" w:rsidRPr="00CE2804" w:rsidTr="00CE2804">
        <w:trPr>
          <w:tblCellSpacing w:w="0" w:type="dxa"/>
        </w:trPr>
        <w:tc>
          <w:tcPr>
            <w:tcW w:w="0" w:type="auto"/>
            <w:hideMark/>
          </w:tcPr>
          <w:p w:rsidR="00CE2804" w:rsidRPr="00CE2804" w:rsidRDefault="00CE2804" w:rsidP="00CE280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Введение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 работа</w:t>
            </w:r>
            <w:proofErr w:type="gramEnd"/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студента, обучающегося по направлению "Менеджмент", выполняемая в 5 семестре по дисциплине "Стратегический менеджмент" - самостоятельная, творческая работа научно-исследовательского характера. Она должна свидетельствовать о умении и готовности применять на практике полученные теоретические знания по изучаемой дисциплине, самостоятельно выполнять SWOT-анализ конкретного предприятия (организации) и, на его основе, выявлять и обосновывать необходимость разработки новой или смены действующей стратегии предприятия (организации).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SWOT-анализ должен быть максимально сфокусирован, т.е. проводиться для каждого из рассматриваемых сегментов рынка или варианта продуктовой стратегии. Причем, для успешного стратегического анализа методом SWOT важно не только вскрывать угрозы и определять возможности, но и оценивать их с точки зрения важности и степени их влияния на стратегию организации.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контрольной работе студенту необходимо выполнить SWOT-анализ конкретного предприятия (организации), самостоятельно выбранного студентом.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данных методических указаний состоит в том, чтобы оказать студентам необходимую методическую помощь в выполнении ими контрольной работы.</w:t>
            </w:r>
          </w:p>
        </w:tc>
      </w:tr>
    </w:tbl>
    <w:p w:rsidR="00CE2804" w:rsidRDefault="00CE2804"/>
    <w:p w:rsidR="00CE2804" w:rsidRPr="00CE2804" w:rsidRDefault="00CE2804" w:rsidP="00CE280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1. Краткое содержание основных разделов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Введение. </w:t>
      </w: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вступительная часть контрольной работы, в которой обосновывается актуальность темы, формируется цель и основные задачи, определяется объект и предмет исследования. Объем введения не должен превышать 1-2 стр.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Глава 1. </w:t>
      </w:r>
      <w:proofErr w:type="gramStart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Общая  характеристика</w:t>
      </w:r>
      <w:proofErr w:type="gramEnd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объекта исследования.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Дается краткая характеристика предприятия (организации): организационно-правовая форма, название, местонахождение, к какой отрасли, какому виду деятельности относится, какие виды продукции выпускает (какие виды работ (услуг) оказывает).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Глава 2. SWOT-анализ.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данной главе производится SWOT-анализ предприятия (организации), согласно технологии, представленной ниже, причем должны быть выполнены последовательно все пошаговые процедуры и сделан обоснованный вывод.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первом этапе студентом проводится анализ внешней среды и выявляются возможности и угрозы для организации, а также выполняется анализ внутренней среды с установлением сильных и слабых сторон. Методы проведения анализа среды выбираются студентом самостоятельно.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SWOT-анализа может быть определена следующими пошаговыми процедурами: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Составляется конкретный список по всем четырем элементам: силы, слабости, возможности и угрозы, причем формулировки должны быть упорядочены по значимости: например, сначала идет угроза №1 и т.д.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проведем SWOT-анализ гипотетической фирмы по продаже компьютеров "СПАМ".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Таблица 1 - Сильные и слабые стороны</w:t>
      </w:r>
    </w:p>
    <w:tbl>
      <w:tblPr>
        <w:tblW w:w="1073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4"/>
        <w:gridCol w:w="4838"/>
      </w:tblGrid>
      <w:tr w:rsidR="00CE2804" w:rsidRPr="00CE2804" w:rsidTr="00CE2804">
        <w:trPr>
          <w:tblCellSpacing w:w="0" w:type="dxa"/>
          <w:jc w:val="center"/>
        </w:trPr>
        <w:tc>
          <w:tcPr>
            <w:tcW w:w="5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CE2804" w:rsidRPr="00CE2804" w:rsidTr="00CE2804">
        <w:trPr>
          <w:tblCellSpacing w:w="0" w:type="dxa"/>
          <w:jc w:val="center"/>
        </w:trPr>
        <w:tc>
          <w:tcPr>
            <w:tcW w:w="5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Выгодные условия предоставления компьютеров, оргтехники и систем видеонаблюдения в кредит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 Рассрочка дается на год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Процент составляет 1% ежемесячно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Кредит предоставляется как для физических, так и для юридических лиц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Кредит дается для всех жителей области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Сложившиеся хорошие взаимоотношения с "</w:t>
            </w:r>
            <w:proofErr w:type="spellStart"/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Нашбанком</w:t>
            </w:r>
            <w:proofErr w:type="spellEnd"/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Благоприятный микроклимат в коллективе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Интересные дилерские позиции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 Недостаточная материальная база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 Отсутствие достаточных складских помещений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Большой круг движения денежных средств по кредиту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Ограниченность суммы счета на одно лицо или организацию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Недостаточная реклама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Неналаженные</w:t>
            </w:r>
            <w:proofErr w:type="spellEnd"/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каналы поставок</w:t>
            </w:r>
          </w:p>
        </w:tc>
      </w:tr>
    </w:tbl>
    <w:p w:rsidR="00CE2804" w:rsidRDefault="00CE2804"/>
    <w:p w:rsidR="00CE2804" w:rsidRPr="00CE2804" w:rsidRDefault="00CE2804" w:rsidP="00CE2804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Таблица 2 - Возможности и угрозы</w:t>
      </w:r>
    </w:p>
    <w:tbl>
      <w:tblPr>
        <w:tblW w:w="1087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6336"/>
      </w:tblGrid>
      <w:tr w:rsidR="00CE2804" w:rsidRPr="00CE2804" w:rsidTr="00CE2804">
        <w:trPr>
          <w:tblCellSpacing w:w="0" w:type="dxa"/>
          <w:jc w:val="center"/>
        </w:trPr>
        <w:tc>
          <w:tcPr>
            <w:tcW w:w="4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CE2804" w:rsidRPr="00CE2804" w:rsidTr="00CE2804">
        <w:trPr>
          <w:tblCellSpacing w:w="0" w:type="dxa"/>
          <w:jc w:val="center"/>
        </w:trPr>
        <w:tc>
          <w:tcPr>
            <w:tcW w:w="4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Освоение новых технологий и предоставление конкурентоспособных услуг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Выход на новые рынки или сегменты рынка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Открытие филиалов по кредиту в области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Увеличение спектра сервисных услуг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Увеличение объема продаж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Нахождение более выгодных каналов поставки комплектующих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Появление новых конкурентов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Появление более перспективных товаров и услуг у конкурентов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Нестабильность законодательной базы, налоговой политики, инфляции, доходов населения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Ухудшение рыночных позиций в результате недобросовестной конкуренции</w:t>
            </w:r>
          </w:p>
          <w:p w:rsidR="00CE2804" w:rsidRPr="00CE2804" w:rsidRDefault="00CE2804" w:rsidP="00CE2804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2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Нестабильность курса доллара и таможенного регулирования</w:t>
            </w:r>
          </w:p>
        </w:tc>
      </w:tr>
    </w:tbl>
    <w:p w:rsidR="00CE2804" w:rsidRDefault="00CE2804"/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 xml:space="preserve">2. Устанавливаются связи между элементами анализа с помощью матрицы SWOT. Слева выделяются два блока: сильные стороны СС (S), слабые стороны </w:t>
      </w:r>
      <w:proofErr w:type="spellStart"/>
      <w:r>
        <w:rPr>
          <w:color w:val="000000"/>
        </w:rPr>
        <w:t>СлС</w:t>
      </w:r>
      <w:proofErr w:type="spellEnd"/>
      <w:r>
        <w:rPr>
          <w:color w:val="000000"/>
        </w:rPr>
        <w:t xml:space="preserve"> (W), в которые соответственно вписываются все выявленные на первом этапе стороны организации. В верхней части матрицы также выделяется два блока: возможности В (О), угрозы </w:t>
      </w:r>
      <w:proofErr w:type="gramStart"/>
      <w:r>
        <w:rPr>
          <w:color w:val="000000"/>
        </w:rPr>
        <w:t>У</w:t>
      </w:r>
      <w:proofErr w:type="gramEnd"/>
      <w:r>
        <w:rPr>
          <w:color w:val="000000"/>
        </w:rPr>
        <w:t xml:space="preserve"> (Т), в которые в определенном порядке вписываются все выявленные возможности и угрозы. На пересечении блоков образуются четыре поля, на которых путем экспертного анализа рассматриваются возможные парные комбинации и выделяются те, которые должны быть учтены при разработке стратегии.</w:t>
      </w:r>
    </w:p>
    <w:p w:rsidR="00CE2804" w:rsidRDefault="00CE2804" w:rsidP="00CE2804">
      <w:pPr>
        <w:pStyle w:val="a3"/>
        <w:shd w:val="clear" w:color="auto" w:fill="FFFFFF"/>
        <w:spacing w:before="0" w:beforeAutospacing="0" w:after="30" w:afterAutospacing="0"/>
        <w:ind w:left="150" w:right="150"/>
        <w:rPr>
          <w:color w:val="000000"/>
        </w:rPr>
      </w:pPr>
      <w:r>
        <w:rPr>
          <w:i/>
          <w:iCs/>
          <w:color w:val="000000"/>
        </w:rPr>
        <w:t>Таблица 3 - Матрица SWOT</w:t>
      </w:r>
    </w:p>
    <w:p w:rsidR="00CE2804" w:rsidRDefault="00CE2804">
      <w:r>
        <w:rPr>
          <w:noProof/>
          <w:lang w:eastAsia="ru-RU"/>
        </w:rPr>
        <w:drawing>
          <wp:inline distT="0" distB="0" distL="0" distR="0" wp14:anchorId="205290D6" wp14:editId="6296A9BF">
            <wp:extent cx="5940425" cy="2804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В отношении пар, которые попали в разные поля, создаются сценарии развития бизнеса:</w:t>
      </w:r>
    </w:p>
    <w:p w:rsidR="00CE2804" w:rsidRPr="00CE2804" w:rsidRDefault="00CE2804" w:rsidP="00CE28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"Сила и возможности" - ССВ (SO) – максимальная реализация возможностей с опорой на сильные стороны и частичным игнорированием угроз.</w:t>
      </w:r>
    </w:p>
    <w:p w:rsidR="00CE2804" w:rsidRPr="00CE2804" w:rsidRDefault="00CE2804" w:rsidP="00CE28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"Слабость и возможности" - </w:t>
      </w:r>
      <w:proofErr w:type="spellStart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СлСВ</w:t>
      </w:r>
      <w:proofErr w:type="spellEnd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(WO) – преодоление имеющихся в организации слабых сторон за счет появившихся возможностей.</w:t>
      </w:r>
    </w:p>
    <w:p w:rsidR="00CE2804" w:rsidRPr="00CE2804" w:rsidRDefault="00CE2804" w:rsidP="00CE28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"Сила и угроза" - ССУ (ST) – использование сильных сторон для </w:t>
      </w:r>
      <w:proofErr w:type="gramStart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устранения  или</w:t>
      </w:r>
      <w:proofErr w:type="gramEnd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нивелирование влияния возможных и реальных угроз, не отвлекаясь на открывшиеся возможности.</w:t>
      </w:r>
    </w:p>
    <w:p w:rsidR="00CE2804" w:rsidRPr="00CE2804" w:rsidRDefault="00CE2804" w:rsidP="00CE28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"Слабость и угрозы" - </w:t>
      </w:r>
      <w:proofErr w:type="spellStart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СлСУ</w:t>
      </w:r>
      <w:proofErr w:type="spellEnd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(WT) – поиск решений, которые помогут избежать угроз для бизнеса и избавиться от слабости.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Причем, совершенно необязательно генерировать все четыре варианта развития бизнеса. Обычно достаточно 2 – 3, чтобы получить реальную картину для принятия стратегических решений развития бизнеса и отобрать варианты для реализации.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стратегические варианты, выбранные для развития бизнеса, должны быть обоснованы.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Для оценки возможностей и угроз применяется метод позиционирования каждой конкретной возможности (угрозы) на матрице соответственно возможностей (угроз).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Матрица возможностей строится следующим образом: сверху по горизонтали откладывается степень влияния возможностей на деятельность организации (сильная, умеренная, малая). Слева по вертикали откладывается вероятность того, что организация сможет воспользоваться данной возможностью (высокая, средняя, низкая).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Таблица 4 - Матрица возможностей</w:t>
      </w:r>
    </w:p>
    <w:p w:rsidR="00CE2804" w:rsidRDefault="00CE2804">
      <w:r>
        <w:rPr>
          <w:noProof/>
          <w:lang w:eastAsia="ru-RU"/>
        </w:rPr>
        <w:drawing>
          <wp:inline distT="0" distB="0" distL="0" distR="0" wp14:anchorId="39CDD428" wp14:editId="3758AED2">
            <wp:extent cx="5940425" cy="17799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Полученные внутри матрицы поля возможностей имеют разное значение для организации. Возможности, попавшие в поля "высокая – сильная", "высокая – умеренная", "средняя – сильная" имеют большое значение для организации и их надо обязательно использовать. Возможности, попавшие в поля "средняя – малая", "низкая – умеренная", "низкая – малая" практически не заслуживают внимания организации. Использовать возможности, попавшие в оставшиеся три поля можно, если у организации имеется достаточный стратегический потенциал.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Необходимо определить перечень возможностей со стороны внешней среды, которые обязательно нужно учитывать при разработке стратегии данной организации.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Похожая матрица составляется для оценки угроз (таблица 5). Сверху по горизонтали откладываются возможные последствия для организации, к которым может привести реализация угрозы (разрушение, критическое состояние, тяжелое состояние, "легкий ушиб"). Слева по вертикали откладывается вероятность того, что угроза будет реализована (высокая, средняя, низкая).</w:t>
      </w:r>
    </w:p>
    <w:p w:rsidR="00CE2804" w:rsidRDefault="00CE2804" w:rsidP="00CE2804">
      <w:pPr>
        <w:pStyle w:val="a3"/>
        <w:shd w:val="clear" w:color="auto" w:fill="FFFFFF"/>
        <w:spacing w:before="0" w:beforeAutospacing="0" w:after="30" w:afterAutospacing="0"/>
        <w:ind w:left="150" w:right="150"/>
        <w:rPr>
          <w:color w:val="000000"/>
        </w:rPr>
      </w:pPr>
      <w:r>
        <w:rPr>
          <w:i/>
          <w:iCs/>
          <w:color w:val="000000"/>
        </w:rPr>
        <w:t>Таблица 5 - Матрица угроз</w:t>
      </w:r>
    </w:p>
    <w:p w:rsidR="00CE2804" w:rsidRDefault="00CE2804">
      <w:r>
        <w:rPr>
          <w:noProof/>
          <w:lang w:eastAsia="ru-RU"/>
        </w:rPr>
        <w:lastRenderedPageBreak/>
        <w:drawing>
          <wp:inline distT="0" distB="0" distL="0" distR="0" wp14:anchorId="1550AE2A" wp14:editId="0B128A30">
            <wp:extent cx="5940425" cy="28689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угрозы, которые выпадают на поля "высокая – разрушение", "высокая – критическое состояние" и "средняя – разрушение" представляют очень большую опасность для организации и требуют немедленного и обязательного устранения. Угрозы, выпавшие на поля "высокая – тяжелое состояние", "средняя – критическое состояние" и "низкая – разрушение" также должны находиться в поле зрения и устраняются по мере возможности в первостепенном порядке. Угрозы, попавшие в оставшиеся поля, требуют также внимательного и ответственного подхода и не должны полностью выпадать из поля зрения.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определить перечень значимых угроз со стороны внешней среды, которые обязательно нужно учитывать при разработке стратегии данной организации.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Для обобщения результатов работы по анализу стратегических факторов внешней среды предлагается использовать специальную форму "Резюме анализа внешних стратегических факторов" (</w:t>
      </w:r>
      <w:proofErr w:type="spellStart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External</w:t>
      </w:r>
      <w:proofErr w:type="spellEnd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Strategic</w:t>
      </w:r>
      <w:proofErr w:type="spellEnd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Factors</w:t>
      </w:r>
      <w:proofErr w:type="spellEnd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Analysis</w:t>
      </w:r>
      <w:proofErr w:type="spellEnd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Summary</w:t>
      </w:r>
      <w:proofErr w:type="spellEnd"/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– EFAS</w:t>
      </w: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форма представляет собой метод анализа готовности организации реагировать на стратегические факторы внешней среды с учетом предполагаемой значимости этих факторов для разрабатываемой стратегии.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работы с формой EFAS следующая:</w:t>
      </w:r>
    </w:p>
    <w:p w:rsidR="00CE2804" w:rsidRPr="00CE2804" w:rsidRDefault="00CE2804" w:rsidP="00CE28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первой колонке указываются 5-10 возможностей и </w:t>
      </w:r>
      <w:r w:rsidRPr="00CE28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столько же</w:t>
      </w: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угроз.</w:t>
      </w:r>
    </w:p>
    <w:p w:rsidR="00CE2804" w:rsidRPr="00CE2804" w:rsidRDefault="00CE2804" w:rsidP="00CE28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 фактору приписывается весовое значение от единицы (важнейший) до нуля (незначимый) на основе оценки степени вероятного воздействия данного фактора на стратегическую позицию организации (по отношению к другим рассматриваемым факторам). Возможно использование табл. 4 и 5. Сумма весов должна быть равна единице.</w:t>
      </w:r>
    </w:p>
    <w:p w:rsidR="00CE2804" w:rsidRPr="00CE2804" w:rsidRDefault="00CE2804" w:rsidP="00CE28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Дается оценка каждого фактора по 5-балльной шкале: "5" - выдающийся, "4" - выше среднего, "3" - средний, "2" - ниже среднего, "1" - незначимый. Оценки должны быть основаны на специфической </w:t>
      </w:r>
      <w:proofErr w:type="gramStart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реакции  организации</w:t>
      </w:r>
      <w:proofErr w:type="gramEnd"/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воздействие этих факторов (и безотносительно к другим рассматриваемым факторам). Возможно использование табл. 4 и 5.</w:t>
      </w:r>
    </w:p>
    <w:p w:rsidR="00CE2804" w:rsidRPr="00CE2804" w:rsidRDefault="00CE2804" w:rsidP="00CE28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Определяются взвешенные оценки каждого фактора путем умножения его веса на оценку, и подсчитывается суммарная взвешенная оценка для данной организации.</w:t>
      </w:r>
    </w:p>
    <w:p w:rsidR="00CE2804" w:rsidRPr="00CE2804" w:rsidRDefault="00CE2804" w:rsidP="00CE28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Суммарная оценка (с той же градацией, как и оценка каждого фактора) указывает на степень реакции организации на факторы внешней среды.</w:t>
      </w:r>
    </w:p>
    <w:p w:rsidR="00CE2804" w:rsidRPr="00CE2804" w:rsidRDefault="00CE2804" w:rsidP="00CE2804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8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Таблица 6 - Форма EFAS</w:t>
      </w:r>
    </w:p>
    <w:p w:rsidR="00CE2804" w:rsidRDefault="00CE2804">
      <w:r>
        <w:rPr>
          <w:noProof/>
          <w:lang w:eastAsia="ru-RU"/>
        </w:rPr>
        <w:drawing>
          <wp:inline distT="0" distB="0" distL="0" distR="0" wp14:anchorId="0BD02B3A" wp14:editId="26227304">
            <wp:extent cx="5940425" cy="264287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Вывод: реакция фирмы "СПАМ" на воздействие внешней среды выше среднего уровня.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В результате SWOT-анализа студент должен сделать обоснованный вывод по поводу необходимости разработки, корректировки или смены стратегии.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i/>
          <w:iCs/>
          <w:color w:val="000000"/>
        </w:rPr>
        <w:t>Глава 3. Разработка рекомендаций и мероприятий по результатам SWOT-анализа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Опираясь на выводы по результатам анализа, студент формулирует стратегию, предлагаемую к реализации, из базисных (эталонных) стратегий развития бизнеса.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i/>
          <w:iCs/>
          <w:color w:val="000000"/>
        </w:rPr>
        <w:t>Заключение </w:t>
      </w:r>
      <w:r>
        <w:rPr>
          <w:color w:val="000000"/>
        </w:rPr>
        <w:t>носит форму синтеза полученных в работе результатов, то есть это последовательное изложение полученных выводов и их соотношение с целью работы и конкретными задачами, поставленными и сформулированными во введении. Объем заключения должен составлять не более 1-2 стр.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i/>
          <w:iCs/>
          <w:color w:val="000000"/>
        </w:rPr>
        <w:t>Библиография.</w:t>
      </w:r>
      <w:r>
        <w:rPr>
          <w:color w:val="000000"/>
        </w:rPr>
        <w:t> Список использованной литературы должен иметь отражение в тексте контрольной работы и оформлен согласно требованиям.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i/>
          <w:iCs/>
          <w:color w:val="000000"/>
        </w:rPr>
        <w:t>Приложения </w:t>
      </w:r>
      <w:r>
        <w:rPr>
          <w:color w:val="000000"/>
        </w:rPr>
        <w:t>располагают в работе после списка использованной литературы. В приложения вносят (при необходимости) таблицы, схемы, графики, диаграммы, статистические данные, материалы правового, управленческого, экономического и финансового характера.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Каждое приложение начинается с новой страницы. Оно должно иметь свой порядковый номер и содержательный заголовок, указываемые в первой строке страницы. Страницы, занятые приложениями, входят в сквозную нумерацию контрольной работы, но в объем работы не засчитываются. Приложения к работе усиливают наглядность представляемого материала, помогают глубже раскрыть сущность и взаимосвязанность явлений и тенденции их развития.</w:t>
      </w:r>
    </w:p>
    <w:p w:rsidR="00CE2804" w:rsidRDefault="00CE2804"/>
    <w:p w:rsidR="00CE2804" w:rsidRDefault="00CE2804" w:rsidP="00CE2804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2. Требования к оформлению работы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Общий объем контрольной работы (без приложений) устанавливается в пределах от 15 до 25 страниц формата А4.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КРЗ должна содержать титульный лист, содержание с указанием наименования разделов и соответствующих страниц в тексте работы, введение, основные разделы, список используемой литературы, приложения (при необходимости).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Страницы и основные разделы работы должны быть пронумерованы; если в тексте работы приводятся рисунки, таблицы, графики и др. иллюстративные материалы, то они также нумеруются.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lastRenderedPageBreak/>
        <w:t>Формат страницы:</w:t>
      </w:r>
    </w:p>
    <w:p w:rsidR="00CE2804" w:rsidRDefault="00CE2804" w:rsidP="00CE28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</w:rPr>
      </w:pPr>
      <w:r>
        <w:rPr>
          <w:color w:val="000000"/>
        </w:rPr>
        <w:t>А4 (210×297 мм);</w:t>
      </w:r>
    </w:p>
    <w:p w:rsidR="00CE2804" w:rsidRDefault="00CE2804" w:rsidP="00CE28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</w:rPr>
      </w:pPr>
      <w:r>
        <w:rPr>
          <w:color w:val="000000"/>
        </w:rPr>
        <w:t>ориентация - книжная;</w:t>
      </w:r>
    </w:p>
    <w:p w:rsidR="00CE2804" w:rsidRDefault="00CE2804" w:rsidP="00CE28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</w:rPr>
      </w:pPr>
      <w:r>
        <w:rPr>
          <w:color w:val="000000"/>
        </w:rPr>
        <w:t>поля – стандартные (верхнее, нижнее – 20 мм, левое – 30 мм, правое – 15 мм);</w:t>
      </w:r>
    </w:p>
    <w:p w:rsidR="00CE2804" w:rsidRDefault="00CE2804" w:rsidP="00CE28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</w:rPr>
      </w:pPr>
      <w:r>
        <w:rPr>
          <w:color w:val="000000"/>
        </w:rPr>
        <w:t>шрифт: размер (кегль) — 14;</w:t>
      </w:r>
    </w:p>
    <w:p w:rsidR="00CE2804" w:rsidRPr="00CE2804" w:rsidRDefault="00CE2804" w:rsidP="00CE28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lang w:val="en-US"/>
        </w:rPr>
      </w:pPr>
      <w:r>
        <w:rPr>
          <w:color w:val="000000"/>
        </w:rPr>
        <w:t>тип</w:t>
      </w:r>
      <w:r w:rsidRPr="00CE2804">
        <w:rPr>
          <w:color w:val="000000"/>
          <w:lang w:val="en-US"/>
        </w:rPr>
        <w:t xml:space="preserve"> </w:t>
      </w:r>
      <w:r>
        <w:rPr>
          <w:color w:val="000000"/>
        </w:rPr>
        <w:t>шрифта</w:t>
      </w:r>
      <w:r w:rsidRPr="00CE2804">
        <w:rPr>
          <w:color w:val="000000"/>
          <w:lang w:val="en-US"/>
        </w:rPr>
        <w:t>: Times New Roman;</w:t>
      </w:r>
    </w:p>
    <w:p w:rsidR="00CE2804" w:rsidRDefault="00CE2804" w:rsidP="00CE28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</w:rPr>
      </w:pPr>
      <w:r>
        <w:rPr>
          <w:color w:val="000000"/>
        </w:rPr>
        <w:t>выравнивание - по ширине;</w:t>
      </w:r>
    </w:p>
    <w:p w:rsidR="00CE2804" w:rsidRDefault="00CE2804" w:rsidP="00CE28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</w:rPr>
      </w:pPr>
      <w:r>
        <w:rPr>
          <w:color w:val="000000"/>
        </w:rPr>
        <w:t>межстрочный интервал – полуторный.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Использование полужирного шрифта допускается только в заголовках. Использование курсива по тексту не допускается.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Прямое цитирование авторов должно быть правильно оформлено: цитата приводится в кавычках, точно указываются источники цитат.</w:t>
      </w:r>
    </w:p>
    <w:p w:rsidR="00CE2804" w:rsidRDefault="00CE2804"/>
    <w:p w:rsidR="00CE2804" w:rsidRDefault="00CE2804" w:rsidP="00CE2804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3. Заключение</w:t>
      </w:r>
    </w:p>
    <w:p w:rsidR="00CE2804" w:rsidRDefault="00CE2804" w:rsidP="00CE280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</w:rPr>
      </w:pPr>
      <w:r>
        <w:rPr>
          <w:color w:val="000000"/>
        </w:rPr>
        <w:t>Контрольная работа является одной из форм самостоятельной работы студента и является допуском к сдаче экзамена по курсу "Стратегический менеджмент".</w:t>
      </w:r>
    </w:p>
    <w:p w:rsidR="00CE2804" w:rsidRDefault="00CE2804">
      <w:bookmarkStart w:id="0" w:name="_GoBack"/>
      <w:bookmarkEnd w:id="0"/>
    </w:p>
    <w:sectPr w:rsidR="00CE2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C641D"/>
    <w:multiLevelType w:val="multilevel"/>
    <w:tmpl w:val="1248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2462B"/>
    <w:multiLevelType w:val="multilevel"/>
    <w:tmpl w:val="5B78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CA0393"/>
    <w:multiLevelType w:val="multilevel"/>
    <w:tmpl w:val="B3FA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631"/>
    <w:rsid w:val="00814631"/>
    <w:rsid w:val="00CE2804"/>
    <w:rsid w:val="00F2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00CA"/>
  <w15:chartTrackingRefBased/>
  <w15:docId w15:val="{005A92F1-4B94-4D49-BB20-F39B5540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28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28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8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28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CE2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E2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1802</Words>
  <Characters>10276</Characters>
  <Application>Microsoft Office Word</Application>
  <DocSecurity>0</DocSecurity>
  <Lines>85</Lines>
  <Paragraphs>24</Paragraphs>
  <ScaleCrop>false</ScaleCrop>
  <Company>Reanimator Extreme Edition</Company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2021-09-27T14:29:00Z</dcterms:created>
  <dcterms:modified xsi:type="dcterms:W3CDTF">2021-09-27T14:32:00Z</dcterms:modified>
</cp:coreProperties>
</file>