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bCs/>
          <w:sz w:val="22"/>
          <w:szCs w:val="22"/>
        </w:rPr>
      </w:pPr>
    </w:p>
    <w:p>
      <w:pPr>
        <w:pStyle w:val="style179"/>
        <w:keepNext/>
        <w:spacing w:after="0" w:lineRule="auto" w:line="240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Содержание практики</w:t>
      </w:r>
    </w:p>
    <w:p>
      <w:pPr>
        <w:pStyle w:val="style0"/>
        <w:rPr>
          <w:b/>
          <w:bCs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925"/>
        <w:gridCol w:w="1134"/>
        <w:gridCol w:w="1134"/>
      </w:tblGrid>
      <w:tr>
        <w:trPr>
          <w:trHeight w:val="20" w:hRule="atLeast"/>
          <w:tblHeader/>
        </w:trPr>
        <w:tc>
          <w:tcPr>
            <w:tcW w:w="1413" w:type="dxa"/>
            <w:tcBorders/>
            <w:shd w:val="clear" w:color="auto" w:fill="d9d9d9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5925" w:type="dxa"/>
            <w:tcBorders/>
            <w:shd w:val="clear" w:color="auto" w:fill="d9d9d9"/>
            <w:vAlign w:val="center"/>
          </w:tcPr>
          <w:p>
            <w:pPr>
              <w:pStyle w:val="style0"/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134" w:type="dxa"/>
            <w:tcBorders/>
            <w:shd w:val="clear" w:color="auto" w:fill="d9d9d9"/>
          </w:tcPr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Формируемые компетенции</w:t>
            </w:r>
          </w:p>
        </w:tc>
        <w:tc>
          <w:tcPr>
            <w:tcW w:w="1134" w:type="dxa"/>
            <w:tcBorders/>
            <w:shd w:val="clear" w:color="auto" w:fill="d9d9d9"/>
            <w:vAlign w:val="center"/>
          </w:tcPr>
          <w:p>
            <w:pPr>
              <w:pStyle w:val="style0"/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выполнении</w:t>
            </w:r>
          </w:p>
        </w:tc>
      </w:tr>
      <w:tr>
        <w:tblPrEx/>
        <w:trPr>
          <w:trHeight w:val="20" w:hRule="atLeast"/>
        </w:trPr>
        <w:tc>
          <w:tcPr>
            <w:tcW w:w="1413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tcBorders/>
            <w:shd w:val="clear" w:color="auto" w:fill="auto"/>
          </w:tcPr>
          <w:p>
            <w:pPr>
              <w:pStyle w:val="style0"/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>
        <w:tblPrEx/>
        <w:trPr>
          <w:trHeight w:val="627" w:hRule="atLeast"/>
        </w:trPr>
        <w:tc>
          <w:tcPr>
            <w:tcW w:w="1413" w:type="dxa"/>
            <w:tcBorders/>
            <w:shd w:val="clear" w:color="auto" w:fill="auto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получить индивидуальное план-задание прохождения практики от руководителя практики от Университета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поведения при возникновении нештатных ситуаций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УК-3, УК-4, </w:t>
            </w:r>
            <w:r>
              <w:rPr>
                <w:sz w:val="24"/>
                <w:szCs w:val="24"/>
              </w:rPr>
              <w:t xml:space="preserve">УК-5, УК-7, УК-8, ОПК-1, </w:t>
            </w:r>
            <w:r>
              <w:rPr>
                <w:sz w:val="24"/>
                <w:szCs w:val="24"/>
              </w:rPr>
              <w:t xml:space="preserve">ОПК-2, ОПК-3, ОПК-5, </w:t>
            </w:r>
            <w:r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 xml:space="preserve">6, </w:t>
            </w:r>
            <w:r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  <w:tr>
        <w:tblPrEx/>
        <w:trPr>
          <w:trHeight w:val="904" w:hRule="atLeast"/>
        </w:trPr>
        <w:tc>
          <w:tcPr>
            <w:tcW w:w="1413" w:type="dxa"/>
            <w:tcBorders/>
            <w:shd w:val="clear" w:color="auto" w:fill="auto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рганизовать рабочее место в рамках структурного подразделения Университета.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Ознакомиться с правил</w:t>
            </w:r>
            <w:r>
              <w:rPr>
                <w:sz w:val="24"/>
                <w:szCs w:val="24"/>
              </w:rPr>
              <w:t>ами внутреннего трудового распо</w:t>
            </w:r>
            <w:r>
              <w:rPr>
                <w:sz w:val="24"/>
                <w:szCs w:val="24"/>
              </w:rPr>
              <w:t>рядка Университета.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Развернуть платформу 1</w:t>
            </w:r>
            <w:r>
              <w:rPr>
                <w:sz w:val="24"/>
                <w:szCs w:val="24"/>
              </w:rPr>
              <w:t>С:Предприятие</w:t>
            </w:r>
            <w:r>
              <w:rPr>
                <w:sz w:val="24"/>
                <w:szCs w:val="24"/>
              </w:rPr>
              <w:t xml:space="preserve"> 8.3 на ПК. 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Ознакомиться с предметной областью </w:t>
            </w:r>
            <w:r>
              <w:rPr>
                <w:b/>
                <w:sz w:val="24"/>
                <w:szCs w:val="24"/>
              </w:rPr>
              <w:t>«Разработка конфигурации на платформе 1</w:t>
            </w:r>
            <w:r>
              <w:rPr>
                <w:b/>
                <w:sz w:val="24"/>
                <w:szCs w:val="24"/>
              </w:rPr>
              <w:t>С:Предприятие</w:t>
            </w:r>
            <w:r>
              <w:rPr>
                <w:b/>
                <w:sz w:val="24"/>
                <w:szCs w:val="24"/>
              </w:rPr>
              <w:t xml:space="preserve"> 8.3 </w:t>
            </w: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Грузоперевозки</w:t>
            </w:r>
            <w:r>
              <w:rPr>
                <w:b/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Провести анализ предметной области: изучить положения, стандарты, регламентирующие деятельность специалиста данной предметной области.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Rule="auto" w:line="276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бизнес-процессов, реализуемых в выбранной предметной области. Выбрать бизнес-процесс, для которого будет выполнена программная реализация в разрабатываемой конфигурации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Rule="auto" w:line="276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сравнительный анализ и изучить функционал существующих корпоративных информационных систем для автоматизации бизнес-процессов данной предметной области. 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18"/>
                <w:tab w:val="left" w:leader="none" w:pos="374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200" w:lineRule="auto" w:line="276"/>
              <w:ind w:left="294"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потребностей пользователей, работающих в рамках выбранной предметной области.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УК-3, УК-4, </w:t>
            </w:r>
            <w:r>
              <w:rPr>
                <w:sz w:val="24"/>
                <w:szCs w:val="24"/>
              </w:rPr>
              <w:t xml:space="preserve">УК-5, УК-7, УК-8, ОПК-1, </w:t>
            </w:r>
            <w:r>
              <w:rPr>
                <w:sz w:val="24"/>
                <w:szCs w:val="24"/>
              </w:rPr>
              <w:t xml:space="preserve">ОПК-2, ОПК-3, ОПК-5, </w:t>
            </w:r>
            <w:r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 xml:space="preserve">6, </w:t>
            </w:r>
            <w:r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  <w:tr>
        <w:tblPrEx/>
        <w:trPr>
          <w:trHeight w:val="780" w:hRule="atLeast"/>
        </w:trPr>
        <w:tc>
          <w:tcPr>
            <w:tcW w:w="1413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>
              <w:rPr>
                <w:iCs/>
                <w:sz w:val="24"/>
                <w:szCs w:val="24"/>
              </w:rPr>
              <w:t xml:space="preserve">ровести анализ и дать предложения по </w:t>
            </w:r>
            <w:r>
              <w:rPr>
                <w:iCs/>
                <w:sz w:val="24"/>
                <w:szCs w:val="24"/>
              </w:rPr>
              <w:t xml:space="preserve">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структуры интерфейса</w:t>
            </w:r>
            <w:r>
              <w:rPr>
                <w:iCs/>
                <w:sz w:val="24"/>
                <w:szCs w:val="24"/>
              </w:rPr>
              <w:t xml:space="preserve"> пользователя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для следующих входных данных: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шифр грузоотправителя;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наименование грузоотправителя;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адрес и расчетный счет грузоотправителя;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шифр грузополучателя;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наименование грузополучателя; 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адрес и расчетный чет грузополучателя;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номер документа по грузоперевозке;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наименование, количество и ценность груза;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транспорт;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дата погрузки;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дата разгрузки;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сведения о доставке и оплате;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шифр плательщика.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>
              <w:rPr>
                <w:b/>
                <w:iCs/>
                <w:sz w:val="24"/>
                <w:szCs w:val="24"/>
                <w:u w:val="single"/>
              </w:rPr>
              <w:t>группировки</w:t>
            </w:r>
            <w:r>
              <w:rPr>
                <w:iCs/>
                <w:sz w:val="24"/>
                <w:szCs w:val="24"/>
              </w:rPr>
              <w:t xml:space="preserve"> заданных входных данных.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и вывода данных и </w:t>
            </w:r>
            <w:r>
              <w:rPr>
                <w:b/>
                <w:iCs/>
                <w:sz w:val="24"/>
                <w:szCs w:val="24"/>
                <w:u w:val="single"/>
              </w:rPr>
              <w:t>дружественный пользовательский интерфейс</w:t>
            </w:r>
            <w:r>
              <w:rPr>
                <w:iCs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ab/>
            </w: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печатных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ведомость законченных перевозок за период;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ведомость о должниках;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справка о требовании транспорта;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Провести анализ и дать предложения по разработке </w:t>
            </w:r>
            <w:r>
              <w:rPr>
                <w:b/>
                <w:iCs/>
                <w:sz w:val="24"/>
                <w:szCs w:val="24"/>
                <w:u w:val="single"/>
              </w:rPr>
              <w:t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данных: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информация о перевозках от данного грузоотправителя;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информация о перевозках к данному грузополучателю;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информация о незаконченных перевозках за период;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- информация о законченных перевозках за период. </w:t>
            </w:r>
          </w:p>
          <w:p>
            <w:pPr>
              <w:pStyle w:val="style0"/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ind w:left="294" w:right="30"/>
              <w:jc w:val="both"/>
              <w:textAlignment w:val="auto"/>
              <w:rPr>
                <w:b/>
                <w:iCs/>
                <w:sz w:val="24"/>
                <w:szCs w:val="24"/>
              </w:rPr>
            </w:pPr>
          </w:p>
          <w:p>
            <w:pPr>
              <w:pStyle w:val="style179"/>
              <w:numPr>
                <w:ilvl w:val="0"/>
                <w:numId w:val="1"/>
              </w:numPr>
              <w:ind w:left="294" w:right="3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Провести анализ и сделать проект карты маршрута выбранного бизнес-процесса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техническое задание на разработку конфигурации в соответствии </w:t>
            </w:r>
            <w:r>
              <w:rPr>
                <w:iCs/>
                <w:sz w:val="24"/>
                <w:szCs w:val="24"/>
              </w:rPr>
              <w:t>с ГОСТ 19.201-78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УК-1, УК-2, </w:t>
            </w:r>
            <w:r>
              <w:rPr>
                <w:sz w:val="24"/>
                <w:szCs w:val="24"/>
              </w:rPr>
              <w:t xml:space="preserve">УК-4, УК-6, </w:t>
            </w:r>
            <w:r>
              <w:rPr>
                <w:sz w:val="24"/>
                <w:szCs w:val="24"/>
              </w:rPr>
              <w:t xml:space="preserve">ОПК-1, </w:t>
            </w:r>
            <w:r>
              <w:rPr>
                <w:sz w:val="24"/>
                <w:szCs w:val="24"/>
              </w:rPr>
              <w:t xml:space="preserve">ОПК-2, ОПК-3, ОПК-4, </w:t>
            </w:r>
            <w:r>
              <w:rPr>
                <w:sz w:val="24"/>
                <w:szCs w:val="24"/>
              </w:rPr>
              <w:t>ОПК-6</w:t>
            </w: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  <w:tr>
        <w:tblPrEx/>
        <w:trPr>
          <w:trHeight w:val="780" w:hRule="atLeast"/>
        </w:trPr>
        <w:tc>
          <w:tcPr>
            <w:tcW w:w="1413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  <w:u w:val="single"/>
              </w:rPr>
              <w:t>Назначение ролей</w:t>
            </w:r>
            <w:r>
              <w:rPr>
                <w:iCs/>
                <w:sz w:val="24"/>
                <w:szCs w:val="24"/>
              </w:rPr>
              <w:t xml:space="preserve"> пользователей конфигурации (не менее 6 пользователей).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</w:t>
            </w:r>
            <w:r>
              <w:rPr>
                <w:b/>
                <w:iCs/>
                <w:sz w:val="24"/>
                <w:szCs w:val="24"/>
                <w:u w:val="single"/>
              </w:rPr>
              <w:t>объекты конфигурации</w:t>
            </w:r>
            <w:r>
              <w:rPr>
                <w:iCs/>
                <w:sz w:val="24"/>
                <w:szCs w:val="24"/>
              </w:rPr>
              <w:t xml:space="preserve"> по заданным входным данным: справочников, документов, регистров, отчетов. 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Выполнить привязку необходимых ссылочных компонентов (например, привязать справочник к документу)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Проанализировать необходимость использования </w:t>
            </w:r>
            <w:r>
              <w:rPr>
                <w:b/>
                <w:iCs/>
                <w:sz w:val="24"/>
                <w:szCs w:val="24"/>
                <w:u w:val="single"/>
              </w:rPr>
              <w:t>регистров сведений и регистров накопления</w:t>
            </w:r>
            <w:r>
              <w:rPr>
                <w:iCs/>
                <w:sz w:val="24"/>
                <w:szCs w:val="24"/>
              </w:rPr>
              <w:t xml:space="preserve"> (оборотных и остаточных данных), </w:t>
            </w:r>
            <w:r>
              <w:rPr>
                <w:b/>
                <w:iCs/>
                <w:sz w:val="24"/>
                <w:szCs w:val="24"/>
                <w:u w:val="single"/>
              </w:rPr>
              <w:t>перечислений</w:t>
            </w:r>
            <w:r>
              <w:rPr>
                <w:iCs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необходимые </w:t>
            </w:r>
            <w:r>
              <w:rPr>
                <w:b/>
                <w:iCs/>
                <w:sz w:val="24"/>
                <w:szCs w:val="24"/>
                <w:u w:val="single"/>
              </w:rPr>
              <w:t>регистры сведений и регистры накопления</w:t>
            </w:r>
            <w:r>
              <w:rPr>
                <w:iCs/>
                <w:sz w:val="24"/>
                <w:szCs w:val="24"/>
              </w:rPr>
              <w:t xml:space="preserve">, </w:t>
            </w:r>
            <w:r>
              <w:rPr>
                <w:b/>
                <w:iCs/>
                <w:sz w:val="24"/>
                <w:szCs w:val="24"/>
                <w:u w:val="single"/>
              </w:rPr>
              <w:t>перечисления</w:t>
            </w:r>
            <w:r>
              <w:rPr>
                <w:iCs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основные виды </w:t>
            </w:r>
            <w:r>
              <w:rPr>
                <w:b/>
                <w:iCs/>
                <w:sz w:val="24"/>
                <w:szCs w:val="24"/>
                <w:u w:val="single"/>
              </w:rPr>
              <w:t>учетных документов</w:t>
            </w:r>
            <w:r>
              <w:rPr>
                <w:iCs/>
                <w:sz w:val="24"/>
                <w:szCs w:val="24"/>
              </w:rPr>
              <w:t xml:space="preserve"> в рамках предложенной предметной области.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Разработать алгоритм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b/>
                <w:iCs/>
                <w:sz w:val="24"/>
                <w:szCs w:val="24"/>
                <w:u w:val="single"/>
              </w:rPr>
              <w:t>проведения</w:t>
            </w:r>
            <w:r>
              <w:rPr>
                <w:iCs/>
                <w:sz w:val="24"/>
                <w:szCs w:val="24"/>
              </w:rPr>
              <w:t xml:space="preserve"> основных документов </w:t>
            </w:r>
            <w:r>
              <w:rPr>
                <w:b/>
                <w:iCs/>
                <w:sz w:val="24"/>
                <w:szCs w:val="24"/>
                <w:u w:val="single"/>
              </w:rPr>
              <w:t>с автоматической подстановкой</w:t>
            </w:r>
            <w:r>
              <w:rPr>
                <w:iCs/>
                <w:sz w:val="24"/>
                <w:szCs w:val="24"/>
              </w:rPr>
              <w:t xml:space="preserve"> ключевых данных (например, подставлять цену товара в нужную ячейку)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</w:t>
            </w:r>
            <w:r>
              <w:rPr>
                <w:b/>
                <w:iCs/>
                <w:sz w:val="24"/>
                <w:szCs w:val="24"/>
                <w:u w:val="single"/>
              </w:rPr>
              <w:t>печатные и экранные формы отчетов</w:t>
            </w:r>
            <w:r>
              <w:rPr>
                <w:iCs/>
                <w:sz w:val="24"/>
                <w:szCs w:val="24"/>
              </w:rPr>
              <w:t xml:space="preserve"> по заданным выходным данным.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Создать не менее </w:t>
            </w:r>
            <w:r>
              <w:rPr>
                <w:b/>
                <w:iCs/>
                <w:sz w:val="24"/>
                <w:szCs w:val="24"/>
                <w:u w:val="single"/>
              </w:rPr>
              <w:t>двух макетов</w:t>
            </w:r>
            <w:r>
              <w:rPr>
                <w:iCs/>
                <w:sz w:val="24"/>
                <w:szCs w:val="24"/>
              </w:rPr>
              <w:t xml:space="preserve"> отчетной документации по регламентированным формам </w:t>
            </w:r>
            <w:r>
              <w:rPr>
                <w:iCs/>
                <w:sz w:val="24"/>
                <w:szCs w:val="24"/>
              </w:rPr>
              <w:t>заданной предметной области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УК-1, УК-2, ОПК-2, ОПК-3, ОПК-6, ОПК-7, ОПК-8</w:t>
            </w: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  <w:tr>
        <w:tblPrEx/>
        <w:trPr>
          <w:trHeight w:val="780" w:hRule="atLeast"/>
        </w:trPr>
        <w:tc>
          <w:tcPr>
            <w:tcW w:w="1413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неделя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Создать бизнес-процесс, используя программную реализацию обработчиков событий во встроенном языке 1</w:t>
            </w:r>
            <w:r>
              <w:rPr>
                <w:iCs/>
                <w:sz w:val="24"/>
                <w:szCs w:val="24"/>
              </w:rPr>
              <w:t>С:Предприятие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Реализовать программное формирование задач при прохождении точки маршрута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Настроить персональную, ролевую и условную маршрутизацию в выбранном бизнес-процессе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Предусмотреть принудительное завершение бизнес-процессов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Наполнить базу данных созданной конфигурации в соответствие с предметной областью </w:t>
            </w:r>
            <w:r>
              <w:rPr>
                <w:b/>
                <w:iCs/>
                <w:sz w:val="24"/>
                <w:szCs w:val="24"/>
                <w:u w:val="single"/>
              </w:rPr>
              <w:t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элементов каждого справочника, 6 документов и т.п.)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Провести тестирование разработанной конфигурации</w:t>
            </w:r>
          </w:p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УК-2, УК-4, УК-6, ОПК-4, ОПК-5, ОПК-8</w:t>
            </w: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  <w:tr>
        <w:tblPrEx/>
        <w:trPr>
          <w:trHeight w:val="780" w:hRule="atLeast"/>
        </w:trPr>
        <w:tc>
          <w:tcPr>
            <w:tcW w:w="1413" w:type="dxa"/>
            <w:tcBorders/>
            <w:shd w:val="clear" w:color="auto" w:fill="auto"/>
            <w:vAlign w:val="center"/>
          </w:tcPr>
          <w:p>
            <w:pPr>
              <w:pStyle w:val="style0"/>
              <w:suppressAutoHyphens/>
              <w:overflowPunct/>
              <w:autoSpaceDE/>
              <w:adjustRightInd/>
              <w:ind w:righ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</w:p>
        </w:tc>
        <w:tc>
          <w:tcPr>
            <w:tcW w:w="5925" w:type="dxa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tabs>
                <w:tab w:val="left" w:leader="none" w:pos="0"/>
                <w:tab w:val="left" w:leader="none" w:pos="374"/>
                <w:tab w:val="left" w:leader="none" w:pos="658"/>
                <w:tab w:val="left" w:leader="none" w:pos="3664"/>
                <w:tab w:val="left" w:leader="none" w:pos="4580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overflowPunct/>
              <w:autoSpaceDE/>
              <w:autoSpaceDN/>
              <w:adjustRightInd/>
              <w:spacing w:after="200" w:lineRule="auto" w:line="276"/>
              <w:ind w:left="294" w:right="30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Оформить отчет по практике. </w:t>
            </w:r>
            <w:r>
              <w:rPr>
                <w:iCs/>
                <w:sz w:val="24"/>
                <w:szCs w:val="24"/>
              </w:rPr>
              <w:t xml:space="preserve">Разместить отчет по практике и созданный файл конфигурации в формате </w:t>
            </w:r>
            <w:r>
              <w:rPr>
                <w:sz w:val="24"/>
                <w:szCs w:val="24"/>
              </w:rPr>
              <w:t>*.</w:t>
            </w:r>
            <w:r>
              <w:rPr>
                <w:sz w:val="24"/>
                <w:szCs w:val="24"/>
                <w:lang w:val="en-US"/>
              </w:rPr>
              <w:t>dt</w:t>
            </w:r>
            <w:r>
              <w:rPr>
                <w:sz w:val="24"/>
                <w:szCs w:val="24"/>
              </w:rPr>
              <w:t xml:space="preserve"> в соответствующем разделе Электронного университета. </w:t>
            </w:r>
            <w:r>
              <w:rPr>
                <w:iCs/>
                <w:sz w:val="24"/>
                <w:szCs w:val="24"/>
              </w:rPr>
              <w:t>Защита итогов практики, отраженных в отчете – в соответствии с расписанием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style0"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/>
            <w:shd w:val="clear" w:color="auto" w:fill="auto"/>
            <w:vAlign w:val="center"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вып</w:t>
            </w:r>
            <w:r>
              <w:rPr>
                <w:sz w:val="24"/>
                <w:szCs w:val="24"/>
              </w:rPr>
              <w:t>.</w:t>
            </w:r>
          </w:p>
        </w:tc>
      </w:tr>
    </w:tbl>
    <w:p>
      <w:pPr>
        <w:pStyle w:val="style0"/>
        <w:overflowPunct/>
        <w:autoSpaceDE/>
        <w:autoSpaceDN/>
        <w:adjustRightInd/>
        <w:ind w:right="226"/>
        <w:textAlignment w:val="auto"/>
        <w:rPr>
          <w:rFonts w:eastAsia="Calibri"/>
          <w:b/>
          <w:sz w:val="28"/>
          <w:szCs w:val="24"/>
        </w:rPr>
      </w:pPr>
    </w:p>
    <w:p>
      <w:pPr>
        <w:pStyle w:val="style0"/>
        <w:overflowPunct/>
        <w:autoSpaceDE/>
        <w:adjustRightInd/>
        <w:ind w:right="226"/>
        <w:jc w:val="center"/>
        <w:rPr>
          <w:rFonts w:eastAsia="Calibri"/>
          <w:b/>
          <w:sz w:val="28"/>
          <w:szCs w:val="24"/>
        </w:rPr>
      </w:pPr>
      <w:r>
        <w:rPr>
          <w:rFonts w:eastAsia="Calibri"/>
          <w:b/>
          <w:sz w:val="28"/>
          <w:szCs w:val="24"/>
        </w:rPr>
        <w:t>Планируемые результаты практики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7984"/>
      </w:tblGrid>
      <w:tr>
        <w:trPr>
          <w:trHeight w:val="231" w:hRule="atLeast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>
            <w:pPr>
              <w:pStyle w:val="style0"/>
              <w:tabs>
                <w:tab w:val="left" w:leader="none" w:pos="426"/>
              </w:tabs>
              <w:overflowPunct/>
              <w:spacing w:lineRule="auto" w:line="276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Коды</w:t>
            </w:r>
          </w:p>
          <w:p>
            <w:pPr>
              <w:pStyle w:val="style0"/>
              <w:tabs>
                <w:tab w:val="left" w:leader="none" w:pos="426"/>
              </w:tabs>
              <w:overflowPunct/>
              <w:spacing w:lineRule="auto" w:line="276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>
            <w:pPr>
              <w:pStyle w:val="style0"/>
              <w:tabs>
                <w:tab w:val="left" w:leader="none" w:pos="426"/>
              </w:tabs>
              <w:overflowPunct/>
              <w:spacing w:lineRule="auto" w:line="276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>
            <w:pPr>
              <w:pStyle w:val="style0"/>
              <w:tabs>
                <w:tab w:val="left" w:leader="none" w:pos="426"/>
              </w:tabs>
              <w:overflowPunct/>
              <w:spacing w:lineRule="auto" w:line="276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>
        <w:tblPrEx/>
        <w:trPr>
          <w:trHeight w:val="207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приме</w:t>
            </w:r>
            <w:r>
              <w:rPr>
                <w:sz w:val="22"/>
                <w:szCs w:val="22"/>
              </w:rPr>
              <w:t>нять естественнонаучные и об</w:t>
            </w:r>
            <w:r>
              <w:rPr>
                <w:sz w:val="22"/>
                <w:szCs w:val="22"/>
              </w:rPr>
              <w:t>щеинженерные знания, мето</w:t>
            </w:r>
            <w:r>
              <w:rPr>
                <w:sz w:val="22"/>
                <w:szCs w:val="22"/>
              </w:rPr>
              <w:t>ды математического анализа и мо</w:t>
            </w:r>
            <w:r>
              <w:rPr>
                <w:sz w:val="22"/>
                <w:szCs w:val="22"/>
              </w:rPr>
              <w:t>делирования, теоретического и экспериментального иссле</w:t>
            </w:r>
            <w:r>
              <w:rPr>
                <w:sz w:val="22"/>
                <w:szCs w:val="22"/>
              </w:rPr>
              <w:t>дования в профессиональной дея</w:t>
            </w:r>
            <w:r>
              <w:rPr>
                <w:sz w:val="22"/>
                <w:szCs w:val="22"/>
              </w:rPr>
              <w:t>тельности;</w:t>
            </w:r>
          </w:p>
        </w:tc>
      </w:tr>
      <w:tr>
        <w:tblPrEx/>
        <w:trPr>
          <w:trHeight w:val="596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исполь</w:t>
            </w:r>
            <w:r>
              <w:rPr>
                <w:sz w:val="22"/>
                <w:szCs w:val="22"/>
              </w:rPr>
              <w:t>зовать современные информаци</w:t>
            </w:r>
            <w:r>
              <w:rPr>
                <w:sz w:val="22"/>
                <w:szCs w:val="22"/>
              </w:rPr>
              <w:t>онные технолог</w:t>
            </w:r>
            <w:r>
              <w:rPr>
                <w:sz w:val="22"/>
                <w:szCs w:val="22"/>
              </w:rPr>
              <w:t>ии и программные средства, в том числе отечественного производства, при ре</w:t>
            </w:r>
            <w:r>
              <w:rPr>
                <w:sz w:val="22"/>
                <w:szCs w:val="22"/>
              </w:rPr>
              <w:t>шении задач профессиональной деятельности;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реша</w:t>
            </w:r>
            <w:r>
              <w:rPr>
                <w:sz w:val="22"/>
                <w:szCs w:val="22"/>
              </w:rPr>
              <w:t>ть стандартные задачи профессио</w:t>
            </w:r>
            <w:r>
              <w:rPr>
                <w:sz w:val="22"/>
                <w:szCs w:val="22"/>
              </w:rPr>
              <w:t>нальной деятельности на основе ин</w:t>
            </w:r>
            <w:r>
              <w:rPr>
                <w:sz w:val="22"/>
                <w:szCs w:val="22"/>
              </w:rPr>
              <w:t>формационной и библиографической культуры с примене</w:t>
            </w:r>
            <w:r>
              <w:rPr>
                <w:sz w:val="22"/>
                <w:szCs w:val="22"/>
              </w:rPr>
              <w:t>нием информационно-</w:t>
            </w:r>
            <w:r>
              <w:rPr>
                <w:sz w:val="22"/>
                <w:szCs w:val="22"/>
              </w:rPr>
              <w:t>коммуни</w:t>
            </w:r>
            <w:r>
              <w:rPr>
                <w:sz w:val="22"/>
                <w:szCs w:val="22"/>
              </w:rPr>
              <w:t>кационных технологий и с уче</w:t>
            </w:r>
            <w:r>
              <w:rPr>
                <w:sz w:val="22"/>
                <w:szCs w:val="22"/>
              </w:rPr>
              <w:t>том основных требований информационной безопасности;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участво</w:t>
            </w:r>
            <w:r>
              <w:rPr>
                <w:sz w:val="22"/>
                <w:szCs w:val="22"/>
              </w:rPr>
              <w:t>вать в разработке стандартов,</w:t>
            </w:r>
            <w:r>
              <w:rPr>
                <w:sz w:val="22"/>
                <w:szCs w:val="22"/>
              </w:rPr>
              <w:t xml:space="preserve"> норм и правил, а также техниче</w:t>
            </w:r>
            <w:r>
              <w:rPr>
                <w:sz w:val="22"/>
                <w:szCs w:val="22"/>
              </w:rPr>
              <w:t>ской документации, связанн</w:t>
            </w:r>
            <w:r>
              <w:rPr>
                <w:sz w:val="22"/>
                <w:szCs w:val="22"/>
              </w:rPr>
              <w:t>ой с профессиональной деятельно</w:t>
            </w:r>
            <w:r>
              <w:rPr>
                <w:sz w:val="22"/>
                <w:szCs w:val="22"/>
              </w:rPr>
              <w:t>стью;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инстал</w:t>
            </w:r>
            <w:r>
              <w:rPr>
                <w:sz w:val="22"/>
                <w:szCs w:val="22"/>
              </w:rPr>
              <w:t>лировать программное и аппаратное обеспечение для инфор</w:t>
            </w:r>
            <w:r>
              <w:rPr>
                <w:sz w:val="22"/>
                <w:szCs w:val="22"/>
              </w:rPr>
              <w:t>мационных и автоматизированных систем;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анализировать и разрабатывать орга</w:t>
            </w:r>
            <w:r>
              <w:rPr>
                <w:sz w:val="22"/>
                <w:szCs w:val="22"/>
              </w:rPr>
              <w:t>низационно-технические и экономические процессы с применением методов системного а</w:t>
            </w:r>
            <w:r>
              <w:rPr>
                <w:sz w:val="22"/>
                <w:szCs w:val="22"/>
              </w:rPr>
              <w:t>нализа и математического модели</w:t>
            </w:r>
            <w:r>
              <w:rPr>
                <w:sz w:val="22"/>
                <w:szCs w:val="22"/>
              </w:rPr>
              <w:t>рования;</w:t>
            </w:r>
          </w:p>
        </w:tc>
      </w:tr>
      <w:tr>
        <w:tblPrEx/>
        <w:trPr>
          <w:trHeight w:val="207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разраба</w:t>
            </w:r>
            <w:r>
              <w:rPr>
                <w:sz w:val="22"/>
                <w:szCs w:val="22"/>
              </w:rPr>
              <w:t>тывать алгоритмы и программы, пригодные для практического применения;</w:t>
            </w:r>
          </w:p>
        </w:tc>
      </w:tr>
      <w:tr>
        <w:tblPrEx/>
        <w:trPr>
          <w:trHeight w:val="596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принимать участие в управлении про</w:t>
            </w:r>
            <w:r>
              <w:rPr>
                <w:sz w:val="22"/>
                <w:szCs w:val="22"/>
              </w:rPr>
              <w:t>ектами создания информаци</w:t>
            </w:r>
            <w:r>
              <w:rPr>
                <w:sz w:val="22"/>
                <w:szCs w:val="22"/>
              </w:rPr>
              <w:t>онных систем на стадиях жизнен</w:t>
            </w:r>
            <w:r>
              <w:rPr>
                <w:sz w:val="22"/>
                <w:szCs w:val="22"/>
              </w:rPr>
              <w:t>ного цикла;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</w:tc>
      </w:tr>
      <w:tr>
        <w:tblPrEx/>
        <w:trPr>
          <w:trHeight w:val="207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>
        <w:tblPrEx/>
        <w:trPr>
          <w:trHeight w:val="596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пособен осуществлять социальное взаимодействие и реализовывать свою роль в </w:t>
            </w:r>
            <w:r>
              <w:rPr>
                <w:sz w:val="22"/>
                <w:szCs w:val="22"/>
              </w:rPr>
              <w:t>ко-манде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r>
              <w:rPr>
                <w:sz w:val="22"/>
                <w:szCs w:val="22"/>
              </w:rPr>
              <w:t>ых</w:t>
            </w:r>
            <w:r>
              <w:rPr>
                <w:sz w:val="22"/>
                <w:szCs w:val="22"/>
              </w:rPr>
              <w:t>) языке(ах)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воспринимать межкультурное разнообрази</w:t>
            </w:r>
            <w:r>
              <w:rPr>
                <w:sz w:val="22"/>
                <w:szCs w:val="22"/>
              </w:rPr>
              <w:t>е общества в социально-историче</w:t>
            </w:r>
            <w:r>
              <w:rPr>
                <w:sz w:val="22"/>
                <w:szCs w:val="22"/>
              </w:rPr>
              <w:t>ском, этическом и философском контекстах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851"/>
                <w:tab w:val="left" w:leader="none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управлять своим временем, выстраивать и реализовывать траекторию</w:t>
            </w:r>
            <w:r>
              <w:rPr>
                <w:sz w:val="22"/>
                <w:szCs w:val="22"/>
              </w:rPr>
              <w:t xml:space="preserve"> саморазвития на основе принци</w:t>
            </w:r>
            <w:r>
              <w:rPr>
                <w:sz w:val="22"/>
                <w:szCs w:val="22"/>
              </w:rPr>
              <w:t>пов образования в течение всей жизни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поддерживать должный уровень физическо</w:t>
            </w:r>
            <w:r>
              <w:rPr>
                <w:sz w:val="22"/>
                <w:szCs w:val="22"/>
              </w:rPr>
              <w:t>й подготовленности для обеспече</w:t>
            </w:r>
            <w:r>
              <w:rPr>
                <w:sz w:val="22"/>
                <w:szCs w:val="22"/>
              </w:rPr>
              <w:t>ния полноценной социальной и профессиональной деятельности</w:t>
            </w:r>
          </w:p>
        </w:tc>
      </w:tr>
      <w:tr>
        <w:tblPrEx/>
        <w:trPr>
          <w:trHeight w:val="392" w:hRule="atLeast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tabs>
                <w:tab w:val="left" w:leader="none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пособен создавать и поддерживать безопасные условия жизнедеятельности, в том числе при возникновении чрезвычайных ситуаций</w:t>
            </w:r>
          </w:p>
        </w:tc>
      </w:tr>
    </w:tbl>
    <w:p>
      <w:pPr>
        <w:pStyle w:val="style0"/>
        <w:overflowPunct/>
        <w:autoSpaceDE/>
        <w:adjustRightInd/>
        <w:ind w:right="226"/>
        <w:jc w:val="center"/>
        <w:rPr>
          <w:rFonts w:eastAsia="Calibri"/>
          <w:b/>
          <w:sz w:val="28"/>
          <w:szCs w:val="24"/>
        </w:rPr>
      </w:pPr>
    </w:p>
    <w:p>
      <w:pPr>
        <w:pStyle w:val="style0"/>
        <w:overflowPunct/>
        <w:autoSpaceDE/>
        <w:adjustRightInd/>
        <w:rPr>
          <w:bCs/>
          <w:color w:val="000000"/>
          <w:sz w:val="22"/>
        </w:rPr>
      </w:pPr>
      <w:r>
        <w:rPr>
          <w:bCs/>
          <w:color w:val="000000"/>
          <w:sz w:val="22"/>
          <w:vertAlign w:val="superscript"/>
        </w:rPr>
        <w:t>*</w:t>
      </w:r>
      <w:r>
        <w:rPr>
          <w:bCs/>
          <w:color w:val="000000"/>
          <w:sz w:val="22"/>
        </w:rPr>
        <w:t>заполняется руководителем практики от Университета</w:t>
      </w:r>
    </w:p>
    <w:p>
      <w:pPr>
        <w:pStyle w:val="style0"/>
        <w:overflowPunct/>
        <w:autoSpaceDE/>
        <w:autoSpaceDN/>
        <w:adjustRightInd/>
        <w:spacing w:after="200" w:lineRule="auto" w:line="276"/>
        <w:ind w:right="226"/>
        <w:jc w:val="both"/>
        <w:textAlignment w:val="auto"/>
        <w:contextualSpacing/>
        <w:rPr>
          <w:rFonts w:eastAsia="Calibri"/>
          <w:i/>
          <w:sz w:val="28"/>
          <w:szCs w:val="28"/>
          <w:lang w:eastAsia="en-US"/>
        </w:rPr>
      </w:pPr>
    </w:p>
    <w:sectPr>
      <w:headerReference w:type="even" r:id="rId2"/>
      <w:headerReference w:type="default" r:id="rId3"/>
      <w:pgSz w:w="11906" w:h="16838" w:orient="portrait"/>
      <w:pgMar w:top="964" w:right="1644" w:bottom="96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002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left" w:leader="none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left" w:leader="none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left" w:leader="none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leader="none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left" w:leader="none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left" w:leader="none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left" w:leader="none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left" w:leader="none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leader="none" w:pos="2160"/>
        </w:tabs>
        <w:ind w:left="2160" w:hanging="2160"/>
      </w:pPr>
    </w:lvl>
  </w:abstractNum>
  <w:abstractNum w:abstractNumId="1">
    <w:nsid w:val="00000001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0000002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0000003"/>
    <w:multiLevelType w:val="multilevel"/>
    <w:tmpl w:val="29C4CF5C"/>
    <w:lvl w:ilvl="0">
      <w:start w:val="1"/>
      <w:numFmt w:val="decimal"/>
      <w:lvlText w:val="%1."/>
      <w:lvlJc w:val="left"/>
      <w:pPr>
        <w:tabs>
          <w:tab w:val="left" w:leader="none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leader="none" w:pos="862"/>
        </w:tabs>
        <w:ind w:left="862" w:hanging="720"/>
      </w:pPr>
      <w:rPr>
        <w:rFonts w:ascii="Times New Roman" w:cs="Times New Roman" w:eastAsia="Times New Roman" w:hAnsi="Times New Roman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</w:abstractNum>
  <w:abstractNum w:abstractNumId="4">
    <w:nsid w:val="00000004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0000006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8">
    <w:nsid w:val="00000008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cs="Times New Roman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000000A"/>
    <w:multiLevelType w:val="multilevel"/>
    <w:tmpl w:val="FDB4734A"/>
    <w:lvl w:ilvl="0">
      <w:start w:val="1"/>
      <w:numFmt w:val="bullet"/>
      <w:lvlText w:val="–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left" w:leader="none" w:pos="720"/>
        </w:tabs>
        <w:ind w:left="720" w:hanging="720"/>
      </w:pPr>
      <w:rPr>
        <w:rFonts w:ascii="Times New Roman" w:cs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</w:abstractNum>
  <w:abstractNum w:abstractNumId="11">
    <w:nsid w:val="0000000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left" w:leader="none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cs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left" w:leader="none" w:pos="900"/>
        </w:tabs>
        <w:ind w:left="900" w:hanging="360"/>
      </w:pPr>
      <w:rPr>
        <w:rFonts w:ascii="Times New Roman" w:cs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00000016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multilevel"/>
    <w:tmpl w:val="D41AA4E8"/>
    <w:lvl w:ilvl="0">
      <w:start w:val="1"/>
      <w:numFmt w:val="bullet"/>
      <w:lvlText w:val="–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left" w:leader="none" w:pos="720"/>
        </w:tabs>
        <w:ind w:left="720" w:hanging="720"/>
      </w:pPr>
      <w:rPr>
        <w:rFonts w:ascii="Times New Roman" w:cs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</w:abstractNum>
  <w:abstractNum w:abstractNumId="24">
    <w:nsid w:val="00000018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00000019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false"/>
        <w:i w:val="false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0000001B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left" w:leader="none" w:pos="907"/>
        </w:tabs>
        <w:ind w:left="907" w:hanging="765"/>
      </w:pPr>
      <w:rPr>
        <w:rFonts w:ascii="Times New Roman" w:hAnsi="Times New Roman" w:hint="default"/>
        <w:b w:val="false"/>
        <w:i w:val="false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left" w:leader="none" w:pos="1480"/>
        </w:tabs>
        <w:ind w:left="1480" w:hanging="360"/>
      </w:pPr>
      <w:rPr>
        <w:rFonts w:ascii="Times New Roman" w:cs="Times New Roman" w:hAnsi="Times New Roman" w:hint="default"/>
        <w:b w:val="false"/>
        <w:i w:val="false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left" w:leader="none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leader="none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leader="none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leader="none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leader="none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leader="none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leader="none" w:pos="6520"/>
        </w:tabs>
        <w:ind w:left="6520" w:hanging="180"/>
      </w:pPr>
    </w:lvl>
  </w:abstractNum>
  <w:abstractNum w:abstractNumId="29">
    <w:nsid w:val="0000001D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cs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left" w:leader="none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980"/>
        </w:tabs>
        <w:ind w:left="198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4140"/>
        </w:tabs>
        <w:ind w:left="414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6300"/>
        </w:tabs>
        <w:ind w:left="630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multilevel"/>
    <w:tmpl w:val="AC98E46A"/>
    <w:lvl w:ilvl="0">
      <w:start w:val="1"/>
      <w:numFmt w:val="bullet"/>
      <w:lvlText w:val="–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left" w:leader="none" w:pos="720"/>
        </w:tabs>
        <w:ind w:left="720" w:hanging="720"/>
      </w:pPr>
      <w:rPr>
        <w:rFonts w:ascii="Times New Roman" w:cs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left" w:leader="none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leader="none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leader="none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leader="none" w:pos="1800"/>
        </w:tabs>
        <w:ind w:left="1800" w:hanging="1800"/>
      </w:pPr>
      <w:rPr>
        <w:rFonts w:hint="default"/>
      </w:rPr>
    </w:lvl>
  </w:abstractNum>
  <w:abstractNum w:abstractNumId="36">
    <w:nsid w:val="00000024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left" w:leader="none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left" w:leader="none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00000028"/>
    <w:multiLevelType w:val="singleLevel"/>
    <w:tmpl w:val="04B27DEA"/>
    <w:lvl w:ilvl="0">
      <w:start w:val="1"/>
      <w:numFmt w:val="decimal"/>
      <w:lvlText w:val="%1."/>
      <w:lvlJc w:val="left"/>
      <w:pPr>
        <w:ind w:left="1069" w:hanging="360"/>
      </w:pPr>
    </w:lvl>
  </w:abstractNum>
  <w:abstractNum w:abstractNumId="41">
    <w:nsid w:val="00000029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38"/>
  </w:num>
  <w:num w:numId="4">
    <w:abstractNumId w:val="15"/>
  </w:num>
  <w:num w:numId="5">
    <w:abstractNumId w:val="35"/>
  </w:num>
  <w:num w:numId="6">
    <w:abstractNumId w:val="19"/>
  </w:num>
  <w:num w:numId="7">
    <w:abstractNumId w:val="10"/>
  </w:num>
  <w:num w:numId="8">
    <w:abstractNumId w:val="23"/>
  </w:num>
  <w:num w:numId="9">
    <w:abstractNumId w:val="7"/>
  </w:num>
  <w:num w:numId="10">
    <w:abstractNumId w:val="40"/>
  </w:num>
  <w:num w:numId="11">
    <w:abstractNumId w:val="30"/>
  </w:num>
  <w:num w:numId="12">
    <w:abstractNumId w:val="11"/>
  </w:num>
  <w:num w:numId="13">
    <w:abstractNumId w:val="39"/>
  </w:num>
  <w:num w:numId="14">
    <w:abstractNumId w:val="1"/>
  </w:num>
  <w:num w:numId="15">
    <w:abstractNumId w:val="27"/>
  </w:num>
  <w:num w:numId="16">
    <w:abstractNumId w:val="37"/>
  </w:num>
  <w:num w:numId="17">
    <w:abstractNumId w:val="9"/>
  </w:num>
  <w:num w:numId="18">
    <w:abstractNumId w:val="13"/>
  </w:num>
  <w:num w:numId="19">
    <w:abstractNumId w:val="0"/>
  </w:num>
  <w:num w:numId="20">
    <w:abstractNumId w:val="36"/>
  </w:num>
  <w:num w:numId="21">
    <w:abstractNumId w:val="41"/>
  </w:num>
  <w:num w:numId="22">
    <w:abstractNumId w:val="33"/>
  </w:num>
  <w:num w:numId="23">
    <w:abstractNumId w:val="18"/>
  </w:num>
  <w:num w:numId="24">
    <w:abstractNumId w:val="6"/>
  </w:num>
  <w:num w:numId="25">
    <w:abstractNumId w:val="12"/>
  </w:num>
  <w:num w:numId="26">
    <w:abstractNumId w:val="21"/>
  </w:num>
  <w:num w:numId="27">
    <w:abstractNumId w:val="5"/>
  </w:num>
  <w:num w:numId="28">
    <w:abstractNumId w:val="32"/>
  </w:num>
  <w:num w:numId="29">
    <w:abstractNumId w:val="14"/>
  </w:num>
  <w:num w:numId="30">
    <w:abstractNumId w:val="25"/>
  </w:num>
  <w:num w:numId="31">
    <w:abstractNumId w:val="17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hyphenationZone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ru-RU" w:bidi="ar-SA" w:eastAsia="ru-RU"/>
      </w:rPr>
    </w:rPrDefault>
    <w:pPrDefault>
      <w:pPr/>
    </w:pPrDefault>
  </w:docDefaults>
  <w:style w:type="paragraph" w:default="1" w:styleId="style0">
    <w:name w:val="Normal"/>
    <w:next w:val="style0"/>
    <w:qFormat/>
    <w:pPr>
      <w:overflowPunct w:val="false"/>
      <w:autoSpaceDE w:val="false"/>
      <w:autoSpaceDN w:val="false"/>
      <w:adjustRightInd w:val="false"/>
      <w:textAlignment w:val="baseline"/>
    </w:pPr>
    <w:rPr/>
  </w:style>
  <w:style w:type="paragraph" w:styleId="style1">
    <w:name w:val="heading 1"/>
    <w:basedOn w:val="style0"/>
    <w:next w:val="style0"/>
    <w:qFormat/>
    <w:pPr>
      <w:keepNext/>
      <w:ind w:left="-108"/>
      <w:jc w:val="center"/>
      <w:outlineLvl w:val="0"/>
    </w:pPr>
    <w:rPr>
      <w:sz w:val="28"/>
    </w:rPr>
  </w:style>
  <w:style w:type="paragraph" w:styleId="style2">
    <w:name w:val="heading 2"/>
    <w:basedOn w:val="style0"/>
    <w:next w:val="style0"/>
    <w:link w:val="style4104"/>
    <w:qFormat/>
    <w:pPr>
      <w:keepNext/>
      <w:ind w:right="-766" w:firstLine="567"/>
      <w:jc w:val="both"/>
      <w:outlineLvl w:val="1"/>
    </w:pPr>
    <w:rPr>
      <w:sz w:val="28"/>
    </w:rPr>
  </w:style>
  <w:style w:type="paragraph" w:styleId="style3">
    <w:name w:val="heading 3"/>
    <w:basedOn w:val="style0"/>
    <w:next w:val="style0"/>
    <w:qFormat/>
    <w:pPr>
      <w:keepNext/>
      <w:ind w:right="-766"/>
      <w:jc w:val="both"/>
      <w:outlineLvl w:val="2"/>
    </w:pPr>
    <w:rPr>
      <w:sz w:val="28"/>
    </w:rPr>
  </w:style>
  <w:style w:type="paragraph" w:styleId="style4">
    <w:name w:val="heading 4"/>
    <w:basedOn w:val="style0"/>
    <w:next w:val="style0"/>
    <w:qFormat/>
    <w:pPr>
      <w:keepNext/>
      <w:ind w:left="-2235" w:right="-766"/>
      <w:outlineLvl w:val="3"/>
    </w:pPr>
    <w:rPr>
      <w:sz w:val="24"/>
    </w:rPr>
  </w:style>
  <w:style w:type="paragraph" w:styleId="style5">
    <w:name w:val="heading 5"/>
    <w:basedOn w:val="style0"/>
    <w:next w:val="style0"/>
    <w:qFormat/>
    <w:pPr>
      <w:keepNext/>
      <w:ind w:right="-766"/>
      <w:outlineLvl w:val="4"/>
    </w:pPr>
    <w:rPr>
      <w:sz w:val="24"/>
    </w:rPr>
  </w:style>
  <w:style w:type="paragraph" w:styleId="style6">
    <w:name w:val="heading 6"/>
    <w:basedOn w:val="style0"/>
    <w:next w:val="style0"/>
    <w:qFormat/>
    <w:pPr>
      <w:keepNext/>
      <w:outlineLvl w:val="5"/>
    </w:pPr>
    <w:rPr>
      <w:b/>
      <w:sz w:val="24"/>
    </w:rPr>
  </w:style>
  <w:style w:type="paragraph" w:styleId="style7">
    <w:name w:val="heading 7"/>
    <w:basedOn w:val="style0"/>
    <w:next w:val="style0"/>
    <w:link w:val="style4103"/>
    <w:qFormat/>
    <w:pPr>
      <w:keepNext/>
      <w:outlineLvl w:val="6"/>
    </w:pPr>
    <w:rPr>
      <w:b/>
      <w:sz w:val="32"/>
    </w:rPr>
  </w:style>
  <w:style w:type="paragraph" w:styleId="style8">
    <w:name w:val="heading 8"/>
    <w:basedOn w:val="style0"/>
    <w:next w:val="style0"/>
    <w:qFormat/>
    <w:pPr>
      <w:keepNext/>
      <w:jc w:val="right"/>
      <w:outlineLvl w:val="7"/>
    </w:pPr>
    <w:rPr>
      <w:bCs/>
      <w:sz w:val="26"/>
    </w:rPr>
  </w:style>
  <w:style w:type="paragraph" w:styleId="style9">
    <w:name w:val="heading 9"/>
    <w:basedOn w:val="style0"/>
    <w:next w:val="style0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pPr>
      <w:tabs>
        <w:tab w:val="center" w:leader="none" w:pos="4153"/>
        <w:tab w:val="right" w:leader="none" w:pos="8306"/>
      </w:tabs>
    </w:pPr>
    <w:rPr/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</w:pPr>
    <w:rPr/>
  </w:style>
  <w:style w:type="character" w:styleId="style41">
    <w:name w:val="page number"/>
    <w:basedOn w:val="style65"/>
    <w:next w:val="style41"/>
  </w:style>
  <w:style w:type="paragraph" w:styleId="style62">
    <w:name w:val="Title"/>
    <w:basedOn w:val="style0"/>
    <w:next w:val="style62"/>
    <w:qFormat/>
    <w:pPr>
      <w:jc w:val="center"/>
    </w:pPr>
    <w:rPr>
      <w:b/>
      <w:sz w:val="28"/>
    </w:rPr>
  </w:style>
  <w:style w:type="paragraph" w:styleId="style74">
    <w:name w:val="Subtitle"/>
    <w:basedOn w:val="style0"/>
    <w:next w:val="style74"/>
    <w:qFormat/>
    <w:pPr/>
    <w:rPr>
      <w:b/>
      <w:sz w:val="28"/>
    </w:rPr>
  </w:style>
  <w:style w:type="paragraph" w:styleId="style67">
    <w:name w:val="Body Text Indent"/>
    <w:basedOn w:val="style0"/>
    <w:next w:val="style67"/>
    <w:pPr>
      <w:ind w:firstLine="567"/>
      <w:jc w:val="both"/>
      <w:textAlignment w:val="auto"/>
    </w:pPr>
    <w:rPr>
      <w:sz w:val="24"/>
    </w:rPr>
  </w:style>
  <w:style w:type="paragraph" w:styleId="style84">
    <w:name w:val="Block Text"/>
    <w:basedOn w:val="style0"/>
    <w:next w:val="style84"/>
    <w:pPr>
      <w:ind w:left="567" w:right="-766"/>
    </w:pPr>
    <w:rPr>
      <w:b/>
      <w:sz w:val="24"/>
    </w:rPr>
  </w:style>
  <w:style w:type="paragraph" w:styleId="style83">
    <w:name w:val="Body Text Indent 3"/>
    <w:basedOn w:val="style0"/>
    <w:next w:val="style83"/>
    <w:pPr>
      <w:ind w:right="-766" w:firstLine="567"/>
      <w:jc w:val="both"/>
      <w:textAlignment w:val="auto"/>
    </w:pPr>
    <w:rPr>
      <w:i/>
      <w:iCs/>
      <w:sz w:val="24"/>
    </w:rPr>
  </w:style>
  <w:style w:type="paragraph" w:styleId="style82">
    <w:name w:val="Body Text Indent 2"/>
    <w:basedOn w:val="style0"/>
    <w:next w:val="style82"/>
    <w:link w:val="style4108"/>
    <w:pPr>
      <w:ind w:right="-766" w:firstLine="567"/>
      <w:jc w:val="both"/>
    </w:pPr>
    <w:rPr>
      <w:sz w:val="24"/>
    </w:rPr>
  </w:style>
  <w:style w:type="paragraph" w:customStyle="1" w:styleId="style4097">
    <w:name w:val="Основной текст с отступом 21"/>
    <w:basedOn w:val="style0"/>
    <w:next w:val="style4097"/>
    <w:pPr>
      <w:ind w:right="-199" w:firstLine="567"/>
      <w:jc w:val="both"/>
    </w:pPr>
    <w:rPr>
      <w:sz w:val="24"/>
    </w:rPr>
  </w:style>
  <w:style w:type="paragraph" w:customStyle="1" w:styleId="style4098">
    <w:name w:val="ConsNonformat"/>
    <w:next w:val="style4098"/>
    <w:pPr>
      <w:widowControl w:val="false"/>
      <w:overflowPunct w:val="false"/>
      <w:autoSpaceDE w:val="false"/>
      <w:autoSpaceDN w:val="false"/>
      <w:adjustRightInd w:val="false"/>
      <w:textAlignment w:val="baseline"/>
    </w:pPr>
    <w:rPr>
      <w:rFonts w:ascii="Courier New" w:hAnsi="Courier New"/>
    </w:rPr>
  </w:style>
  <w:style w:type="paragraph" w:styleId="style66">
    <w:name w:val="Body Text"/>
    <w:basedOn w:val="style0"/>
    <w:next w:val="style66"/>
    <w:pPr>
      <w:spacing w:after="120"/>
    </w:pPr>
    <w:rPr/>
  </w:style>
  <w:style w:type="paragraph" w:styleId="style80">
    <w:name w:val="Body Text 2"/>
    <w:basedOn w:val="style0"/>
    <w:next w:val="style80"/>
    <w:pPr>
      <w:jc w:val="both"/>
    </w:pPr>
    <w:rPr>
      <w:bCs/>
      <w:sz w:val="26"/>
    </w:rPr>
  </w:style>
  <w:style w:type="paragraph" w:styleId="style81">
    <w:name w:val="Body Text 3"/>
    <w:basedOn w:val="style0"/>
    <w:next w:val="style81"/>
    <w:pPr>
      <w:ind w:right="-30"/>
      <w:jc w:val="both"/>
    </w:pPr>
    <w:rPr>
      <w:bCs/>
      <w:sz w:val="24"/>
    </w:rPr>
  </w:style>
  <w:style w:type="paragraph" w:customStyle="1" w:styleId="style4099">
    <w:name w:val="Основной текст 21"/>
    <w:basedOn w:val="style0"/>
    <w:next w:val="style4099"/>
    <w:pPr>
      <w:jc w:val="both"/>
    </w:pPr>
    <w:rPr>
      <w:sz w:val="28"/>
    </w:rPr>
  </w:style>
  <w:style w:type="table" w:styleId="style154">
    <w:name w:val="Table Grid"/>
    <w:basedOn w:val="style105"/>
    <w:next w:val="style154"/>
    <w:uiPriority w:val="59"/>
    <w:pPr>
      <w:overflowPunct w:val="false"/>
      <w:autoSpaceDE w:val="false"/>
      <w:autoSpaceDN w:val="false"/>
      <w:adjustRightInd w:val="false"/>
      <w:textAlignment w:val="baseline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39">
    <w:name w:val="annotation reference"/>
    <w:next w:val="style39"/>
    <w:rPr>
      <w:sz w:val="16"/>
      <w:szCs w:val="16"/>
    </w:rPr>
  </w:style>
  <w:style w:type="paragraph" w:styleId="style30">
    <w:name w:val="annotation text"/>
    <w:basedOn w:val="style0"/>
    <w:next w:val="style30"/>
    <w:link w:val="style4100"/>
    <w:pPr/>
  </w:style>
  <w:style w:type="character" w:customStyle="1" w:styleId="style4100">
    <w:name w:val="Текст примечания Знак"/>
    <w:basedOn w:val="style65"/>
    <w:next w:val="style4100"/>
    <w:link w:val="style30"/>
  </w:style>
  <w:style w:type="paragraph" w:styleId="style106">
    <w:name w:val="annotation subject"/>
    <w:basedOn w:val="style30"/>
    <w:next w:val="style30"/>
    <w:link w:val="style4101"/>
    <w:pPr/>
    <w:rPr>
      <w:b/>
      <w:bCs/>
    </w:rPr>
  </w:style>
  <w:style w:type="character" w:customStyle="1" w:styleId="style4101">
    <w:name w:val="Тема примечания Знак"/>
    <w:next w:val="style4101"/>
    <w:link w:val="style106"/>
    <w:rPr>
      <w:b/>
      <w:bCs/>
    </w:rPr>
  </w:style>
  <w:style w:type="paragraph" w:styleId="style153">
    <w:name w:val="Balloon Text"/>
    <w:basedOn w:val="style0"/>
    <w:next w:val="style153"/>
    <w:link w:val="style4102"/>
    <w:pPr/>
    <w:rPr>
      <w:rFonts w:ascii="Tahoma" w:cs="Tahoma" w:hAnsi="Tahoma"/>
      <w:sz w:val="16"/>
      <w:szCs w:val="16"/>
    </w:rPr>
  </w:style>
  <w:style w:type="character" w:customStyle="1" w:styleId="style4102">
    <w:name w:val="Текст выноски Знак"/>
    <w:next w:val="style4102"/>
    <w:link w:val="style153"/>
    <w:rPr>
      <w:rFonts w:ascii="Tahoma" w:cs="Tahoma" w:hAnsi="Tahoma"/>
      <w:sz w:val="16"/>
      <w:szCs w:val="16"/>
    </w:rPr>
  </w:style>
  <w:style w:type="character" w:customStyle="1" w:styleId="style4103">
    <w:name w:val="Заголовок 7 Знак"/>
    <w:next w:val="style4103"/>
    <w:link w:val="style7"/>
    <w:rPr>
      <w:b/>
      <w:sz w:val="32"/>
    </w:rPr>
  </w:style>
  <w:style w:type="character" w:customStyle="1" w:styleId="style4104">
    <w:name w:val="Заголовок 2 Знак"/>
    <w:next w:val="style4104"/>
    <w:link w:val="style2"/>
    <w:rPr>
      <w:sz w:val="28"/>
    </w:rPr>
  </w:style>
  <w:style w:type="paragraph" w:styleId="style29">
    <w:name w:val="footnote text"/>
    <w:basedOn w:val="style0"/>
    <w:next w:val="style29"/>
    <w:link w:val="style4105"/>
    <w:uiPriority w:val="99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style4105">
    <w:name w:val="Текст сноски Знак"/>
    <w:next w:val="style4105"/>
    <w:link w:val="style29"/>
    <w:uiPriority w:val="99"/>
    <w:rPr>
      <w:rFonts w:ascii="Calibri" w:eastAsia="Calibri" w:hAnsi="Calibri"/>
      <w:lang w:eastAsia="en-US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table" w:customStyle="1" w:styleId="style4106">
    <w:name w:val="Сетка таблицы1"/>
    <w:basedOn w:val="style105"/>
    <w:next w:val="style154"/>
    <w:uiPriority w:val="59"/>
    <w:pPr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107">
    <w:name w:val="ConsPlusNormal"/>
    <w:next w:val="style4107"/>
    <w:pPr>
      <w:autoSpaceDE w:val="false"/>
      <w:autoSpaceDN w:val="false"/>
      <w:adjustRightInd w:val="false"/>
    </w:pPr>
    <w:rPr>
      <w:sz w:val="26"/>
      <w:szCs w:val="26"/>
    </w:rPr>
  </w:style>
  <w:style w:type="paragraph" w:styleId="style179">
    <w:name w:val="List Paragraph"/>
    <w:basedOn w:val="style0"/>
    <w:next w:val="style179"/>
    <w:qFormat/>
    <w:uiPriority w:val="34"/>
    <w:pPr>
      <w:overflowPunct/>
      <w:autoSpaceDE/>
      <w:autoSpaceDN/>
      <w:adjustRightInd/>
      <w:spacing w:after="200" w:lineRule="auto" w:line="276"/>
      <w:ind w:left="720"/>
      <w:textAlignment w:val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yle4108">
    <w:name w:val="Основной текст с отступом 2 Знак"/>
    <w:basedOn w:val="style65"/>
    <w:next w:val="style4108"/>
    <w:link w:val="style82"/>
    <w:rPr>
      <w:sz w:val="24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43">
    <w:name w:val="endnote text"/>
    <w:basedOn w:val="style0"/>
    <w:next w:val="style43"/>
    <w:link w:val="style4109"/>
    <w:pPr/>
  </w:style>
  <w:style w:type="character" w:customStyle="1" w:styleId="style4109">
    <w:name w:val="Текст концевой сноски Знак"/>
    <w:basedOn w:val="style65"/>
    <w:next w:val="style4109"/>
    <w:link w:val="style43"/>
  </w:style>
  <w:style w:type="character" w:styleId="style42">
    <w:name w:val="endnote reference"/>
    <w:basedOn w:val="style65"/>
    <w:next w:val="style42"/>
    <w:rPr>
      <w:vertAlign w:val="superscript"/>
    </w:rPr>
  </w:style>
  <w:style w:type="paragraph" w:customStyle="1" w:styleId="style4110">
    <w:name w:val="Default"/>
    <w:next w:val="style4110"/>
    <w:pPr>
      <w:autoSpaceDE w:val="false"/>
      <w:autoSpaceDN w:val="false"/>
      <w:adjustRightInd w:val="false"/>
    </w:pPr>
    <w:rPr>
      <w:color w:val="000000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8AD72-4501-489C-9F12-6365A8AB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889</Words>
  <Pages>6</Pages>
  <Characters>6713</Characters>
  <Application>WPS Office</Application>
  <DocSecurity>0</DocSecurity>
  <Paragraphs>159</Paragraphs>
  <ScaleCrop>false</ScaleCrop>
  <LinksUpToDate>false</LinksUpToDate>
  <CharactersWithSpaces>7514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2024-05-21T18:05:16Z</dcterms:created>
  <dc:creator>Трошина Светлана Александровна</dc:creator>
  <lastModifiedBy>2109119DG</lastModifiedBy>
  <lastPrinted>2020-02-20T06:50:00Z</lastPrinted>
  <dcterms:modified xsi:type="dcterms:W3CDTF">2024-05-21T18:05:16Z</dcterms:modified>
  <revision>2</revision>
  <dc:title>П О Л О Ж Е Н И Е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CV">
    <vt:lpwstr>aec7bcf6f42147078b38c1ed4e61e22d</vt:lpwstr>
  </property>
</Properties>
</file>