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FBF" w:rsidRDefault="00377FBF" w:rsidP="00377F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377FBF">
        <w:rPr>
          <w:rFonts w:ascii="Times New Roman" w:eastAsia="Times New Roman" w:hAnsi="Times New Roman"/>
          <w:b/>
          <w:bCs/>
          <w:sz w:val="28"/>
          <w:szCs w:val="28"/>
        </w:rPr>
        <w:t>Модуль 6 (семестр 5)</w:t>
      </w:r>
    </w:p>
    <w:p w:rsidR="00377FBF" w:rsidRPr="00377FBF" w:rsidRDefault="00377FBF" w:rsidP="00377F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77FBF" w:rsidRDefault="00377FBF" w:rsidP="00377FBF">
      <w:pPr>
        <w:tabs>
          <w:tab w:val="left" w:pos="1050"/>
        </w:tabs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377FBF">
        <w:rPr>
          <w:rFonts w:ascii="Times New Roman" w:eastAsia="Times New Roman" w:hAnsi="Times New Roman"/>
          <w:b/>
          <w:bCs/>
          <w:sz w:val="28"/>
          <w:szCs w:val="28"/>
        </w:rPr>
        <w:t>Оценка рисков, представление результатов проектной деятельности и их оформление</w:t>
      </w:r>
    </w:p>
    <w:p w:rsidR="00F663CD" w:rsidRDefault="00F663CD" w:rsidP="00377FBF">
      <w:pPr>
        <w:tabs>
          <w:tab w:val="left" w:pos="1050"/>
        </w:tabs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F663CD" w:rsidRDefault="00F663CD" w:rsidP="00F663CD">
      <w:pPr>
        <w:pStyle w:val="31"/>
        <w:tabs>
          <w:tab w:val="left" w:leader="underscore" w:pos="1144"/>
          <w:tab w:val="left" w:leader="underscore" w:pos="6875"/>
        </w:tabs>
        <w:spacing w:line="240" w:lineRule="auto"/>
        <w:ind w:left="720"/>
        <w:jc w:val="both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590E0A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Форма практического задания</w:t>
      </w:r>
      <w:r w:rsidRPr="00590E0A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: реферат </w:t>
      </w:r>
    </w:p>
    <w:p w:rsidR="00F663CD" w:rsidRDefault="00F663CD" w:rsidP="00377FBF">
      <w:pPr>
        <w:tabs>
          <w:tab w:val="left" w:pos="1050"/>
        </w:tabs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 xml:space="preserve">Основы классической и неоклассической теории риска. Понятия "риск", "неопределенность". Риск и прибыль-соотношение понятий. Концепция приемлемого риска. Показатели риска. Факторы рисков. Источники риска. Параметры рисков.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>Система риск-менеджмента: элементы, процессы.</w:t>
      </w:r>
      <w:r w:rsidRPr="00F663CD">
        <w:rPr>
          <w:rFonts w:ascii="Times New Roman" w:hAnsi="Times New Roman" w:cs="Times New Roman"/>
          <w:sz w:val="24"/>
          <w:szCs w:val="24"/>
        </w:rPr>
        <w:t xml:space="preserve"> </w:t>
      </w:r>
      <w:r w:rsidRPr="00F663CD">
        <w:rPr>
          <w:rFonts w:ascii="Times New Roman" w:hAnsi="Times New Roman" w:cs="Times New Roman"/>
          <w:sz w:val="24"/>
          <w:szCs w:val="24"/>
        </w:rPr>
        <w:t xml:space="preserve">Назначение риск -менеджмента. Эффективность риск-менеджмента. Современные тенденции риск-менеджмента.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 xml:space="preserve">Риски, характерные для проектной деятельности. Жизненный цикл проекта и риски каждого этапа.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 xml:space="preserve">Подходы к классифицированию проектных рисков. Системы классификации проектных рисков в соотношении с общей классификацией рисков.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 xml:space="preserve">Структурные характеристики риска: опасность; подверженность риску; уязвимость; взаимодействие с другими рисками. Критерии классификации рисков по характеристике опасности: тип объекта; причина ущерба; типичность негативных последствий.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 xml:space="preserve"> Нормативная основа управления проектными рисками организации</w:t>
      </w:r>
      <w:r w:rsidRPr="00F663CD">
        <w:rPr>
          <w:rFonts w:ascii="Times New Roman" w:hAnsi="Times New Roman" w:cs="Times New Roman"/>
          <w:sz w:val="24"/>
          <w:szCs w:val="24"/>
        </w:rPr>
        <w:t xml:space="preserve">. </w:t>
      </w:r>
      <w:r w:rsidRPr="00F663CD">
        <w:rPr>
          <w:rFonts w:ascii="Times New Roman" w:hAnsi="Times New Roman" w:cs="Times New Roman"/>
          <w:sz w:val="24"/>
          <w:szCs w:val="24"/>
        </w:rPr>
        <w:t xml:space="preserve">Предпосылки формирования современной парадигмы риск-менеджмента на уровне организации.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 xml:space="preserve">Эволюция системы управления рисками Цели комплексного риск-менеджмента.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 xml:space="preserve">Элементы системы управления рисками организации. Регламент процесса управления рисками. Создание эффективной внутренней среды как основы эффективной системы управления рисками.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 xml:space="preserve">Современные стандарты системы риск-менеджмента: AS/NZS, FERMA, COSO, ISO 31000, ISO 31010 и др.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 xml:space="preserve">Принципы информационного обеспечения системы управления рисками организации. КСУР - комплексная система управления рисками организации.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lastRenderedPageBreak/>
        <w:t xml:space="preserve">Идентификация проектных рисков Процедура идентификации рисков в условиях деятельности организации. Методы выявления рисков и </w:t>
      </w:r>
      <w:proofErr w:type="spellStart"/>
      <w:r w:rsidRPr="00F663CD">
        <w:rPr>
          <w:rFonts w:ascii="Times New Roman" w:hAnsi="Times New Roman" w:cs="Times New Roman"/>
          <w:sz w:val="24"/>
          <w:szCs w:val="24"/>
        </w:rPr>
        <w:t>рискообразующих</w:t>
      </w:r>
      <w:proofErr w:type="spellEnd"/>
      <w:r w:rsidRPr="00F663CD">
        <w:rPr>
          <w:rFonts w:ascii="Times New Roman" w:hAnsi="Times New Roman" w:cs="Times New Roman"/>
          <w:sz w:val="24"/>
          <w:szCs w:val="24"/>
        </w:rPr>
        <w:t xml:space="preserve"> факторов.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 xml:space="preserve">Техники и инструменты идентификации рисков. Метод "галстук-бабочка". Метод "карта потоков". Анализ причинно-следственных связей рисковых факторов. Диаграмма </w:t>
      </w:r>
      <w:proofErr w:type="spellStart"/>
      <w:r w:rsidRPr="00F663CD">
        <w:rPr>
          <w:rFonts w:ascii="Times New Roman" w:hAnsi="Times New Roman" w:cs="Times New Roman"/>
          <w:sz w:val="24"/>
          <w:szCs w:val="24"/>
        </w:rPr>
        <w:t>Исикавы</w:t>
      </w:r>
      <w:proofErr w:type="spellEnd"/>
      <w:r w:rsidRPr="00F663CD">
        <w:rPr>
          <w:rFonts w:ascii="Times New Roman" w:hAnsi="Times New Roman" w:cs="Times New Roman"/>
          <w:sz w:val="24"/>
          <w:szCs w:val="24"/>
        </w:rPr>
        <w:t xml:space="preserve">. Реестр рисков.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>Анализ проектных рисков</w:t>
      </w:r>
      <w:r w:rsidRPr="00F663CD">
        <w:rPr>
          <w:rFonts w:ascii="Times New Roman" w:hAnsi="Times New Roman" w:cs="Times New Roman"/>
          <w:sz w:val="24"/>
          <w:szCs w:val="24"/>
        </w:rPr>
        <w:t>.</w:t>
      </w:r>
      <w:r w:rsidRPr="00F663CD">
        <w:rPr>
          <w:rFonts w:ascii="Times New Roman" w:hAnsi="Times New Roman" w:cs="Times New Roman"/>
          <w:sz w:val="24"/>
          <w:szCs w:val="24"/>
        </w:rPr>
        <w:t xml:space="preserve"> Измерение рисков проекта. Системные риски проекта. Построение риск-профиля проекта. Разработка карты рисков проекта. </w:t>
      </w:r>
      <w:proofErr w:type="spellStart"/>
      <w:r w:rsidRPr="00F663CD">
        <w:rPr>
          <w:rFonts w:ascii="Times New Roman" w:hAnsi="Times New Roman" w:cs="Times New Roman"/>
          <w:sz w:val="24"/>
          <w:szCs w:val="24"/>
        </w:rPr>
        <w:t>Построенипе</w:t>
      </w:r>
      <w:proofErr w:type="spellEnd"/>
      <w:r w:rsidRPr="00F663CD">
        <w:rPr>
          <w:rFonts w:ascii="Times New Roman" w:hAnsi="Times New Roman" w:cs="Times New Roman"/>
          <w:sz w:val="24"/>
          <w:szCs w:val="24"/>
        </w:rPr>
        <w:t xml:space="preserve"> профиля рисков проекта. Рисковый рейтинг. Ранжирование рисков проекта.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 xml:space="preserve">Методы анализа рисков согласно </w:t>
      </w:r>
      <w:proofErr w:type="gramStart"/>
      <w:r w:rsidRPr="00F663CD">
        <w:rPr>
          <w:rFonts w:ascii="Times New Roman" w:hAnsi="Times New Roman" w:cs="Times New Roman"/>
          <w:sz w:val="24"/>
          <w:szCs w:val="24"/>
        </w:rPr>
        <w:t>стандарту</w:t>
      </w:r>
      <w:proofErr w:type="gramEnd"/>
      <w:r w:rsidRPr="00F663CD">
        <w:rPr>
          <w:rFonts w:ascii="Times New Roman" w:hAnsi="Times New Roman" w:cs="Times New Roman"/>
          <w:sz w:val="24"/>
          <w:szCs w:val="24"/>
        </w:rPr>
        <w:t xml:space="preserve"> ISO 31010.</w:t>
      </w:r>
      <w:r w:rsidRPr="00F663CD">
        <w:rPr>
          <w:rFonts w:ascii="Times New Roman" w:hAnsi="Times New Roman" w:cs="Times New Roman"/>
          <w:sz w:val="24"/>
          <w:szCs w:val="24"/>
        </w:rPr>
        <w:t xml:space="preserve"> </w:t>
      </w:r>
      <w:r w:rsidRPr="00F663CD">
        <w:rPr>
          <w:rFonts w:ascii="Times New Roman" w:hAnsi="Times New Roman" w:cs="Times New Roman"/>
          <w:sz w:val="24"/>
          <w:szCs w:val="24"/>
        </w:rPr>
        <w:t xml:space="preserve">Инструментарий анализа проектных рисков: метод экспертных оценок; SWOT-анализ; метод </w:t>
      </w:r>
      <w:proofErr w:type="spellStart"/>
      <w:r w:rsidRPr="00F663CD">
        <w:rPr>
          <w:rFonts w:ascii="Times New Roman" w:hAnsi="Times New Roman" w:cs="Times New Roman"/>
          <w:sz w:val="24"/>
          <w:szCs w:val="24"/>
        </w:rPr>
        <w:t>Дельфи</w:t>
      </w:r>
      <w:proofErr w:type="spellEnd"/>
      <w:r w:rsidRPr="00F663CD">
        <w:rPr>
          <w:rFonts w:ascii="Times New Roman" w:hAnsi="Times New Roman" w:cs="Times New Roman"/>
          <w:sz w:val="24"/>
          <w:szCs w:val="24"/>
        </w:rPr>
        <w:t xml:space="preserve">; звезда рисков или круговая диаграмма; спираль рисков; метод проектов аналогов; метод ставки процента с поправкой на риск; метод критических значений.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>Качественная оценка проектных рисков</w:t>
      </w:r>
      <w:r w:rsidRPr="00F663CD">
        <w:rPr>
          <w:rFonts w:ascii="Times New Roman" w:hAnsi="Times New Roman" w:cs="Times New Roman"/>
          <w:sz w:val="24"/>
          <w:szCs w:val="24"/>
        </w:rPr>
        <w:t>.</w:t>
      </w:r>
      <w:r w:rsidRPr="00F663CD">
        <w:rPr>
          <w:rFonts w:ascii="Times New Roman" w:hAnsi="Times New Roman" w:cs="Times New Roman"/>
          <w:sz w:val="24"/>
          <w:szCs w:val="24"/>
        </w:rPr>
        <w:t xml:space="preserve"> Использование метода экспертных оценок в качественной оценке проектных рисков. Качественный анализ проектных рисков: структурная диаграмма; потоковая диаграмма; прямая инспекция; аудит; метод построения деревьев событий; метод "события-последствия"; метод деревьев отказов; методы оценки вероятности рисковых событий и последствий их наступлений.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>Количественная оценка проектных рисков</w:t>
      </w:r>
      <w:r w:rsidRPr="00F663CD">
        <w:rPr>
          <w:rFonts w:ascii="Times New Roman" w:hAnsi="Times New Roman" w:cs="Times New Roman"/>
          <w:sz w:val="24"/>
          <w:szCs w:val="24"/>
        </w:rPr>
        <w:t>.</w:t>
      </w:r>
      <w:r w:rsidRPr="00F663CD">
        <w:rPr>
          <w:rFonts w:ascii="Times New Roman" w:hAnsi="Times New Roman" w:cs="Times New Roman"/>
          <w:sz w:val="24"/>
          <w:szCs w:val="24"/>
        </w:rPr>
        <w:t xml:space="preserve"> Две стороны риска: вероятность потерь и величина потерь. Дисперсия как мера риска. Правила принятия риска на основе показателей математического ожидания, дисперсии и коэффициента вариации. Оценка рисков проекта по историческим данным.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 xml:space="preserve">Использование показателей </w:t>
      </w:r>
      <w:proofErr w:type="spellStart"/>
      <w:r w:rsidRPr="00F663CD">
        <w:rPr>
          <w:rFonts w:ascii="Times New Roman" w:hAnsi="Times New Roman" w:cs="Times New Roman"/>
          <w:sz w:val="24"/>
          <w:szCs w:val="24"/>
        </w:rPr>
        <w:t>VaR</w:t>
      </w:r>
      <w:proofErr w:type="spellEnd"/>
      <w:r w:rsidRPr="00F663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63CD">
        <w:rPr>
          <w:rFonts w:ascii="Times New Roman" w:hAnsi="Times New Roman" w:cs="Times New Roman"/>
          <w:sz w:val="24"/>
          <w:szCs w:val="24"/>
        </w:rPr>
        <w:t>MaR</w:t>
      </w:r>
      <w:proofErr w:type="spellEnd"/>
      <w:r w:rsidRPr="00F663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63CD">
        <w:rPr>
          <w:rFonts w:ascii="Times New Roman" w:hAnsi="Times New Roman" w:cs="Times New Roman"/>
          <w:sz w:val="24"/>
          <w:szCs w:val="24"/>
        </w:rPr>
        <w:t>Rem</w:t>
      </w:r>
      <w:proofErr w:type="spellEnd"/>
      <w:r w:rsidRPr="00F663CD">
        <w:rPr>
          <w:rFonts w:ascii="Times New Roman" w:hAnsi="Times New Roman" w:cs="Times New Roman"/>
          <w:sz w:val="24"/>
          <w:szCs w:val="24"/>
        </w:rPr>
        <w:t xml:space="preserve"> для измерения рыночных рисков организации. Инструменты количественной оценки проектных рисков: анализ точки безубыточности; анализ чувствительности проекта; метод вариации параметров проекта; сценарный подход; имитационное моделирование; метод Монте-Карло; оценка ожидаемого эффекта.</w:t>
      </w:r>
      <w:r w:rsidRPr="00F663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>Моделирование и симуляция в риск-менеджменте. Элементы теории игр в задачах моделирования рисковых ситуаций. Использование понятий "игры с природой", "стратегической игры" в оценивании рисков деятельности организации. Стресс-</w:t>
      </w:r>
      <w:proofErr w:type="spellStart"/>
      <w:r w:rsidRPr="00F663CD">
        <w:rPr>
          <w:rFonts w:ascii="Times New Roman" w:hAnsi="Times New Roman" w:cs="Times New Roman"/>
          <w:sz w:val="24"/>
          <w:szCs w:val="24"/>
        </w:rPr>
        <w:t>тестинг</w:t>
      </w:r>
      <w:proofErr w:type="spellEnd"/>
      <w:r w:rsidRPr="00F663CD">
        <w:rPr>
          <w:rFonts w:ascii="Times New Roman" w:hAnsi="Times New Roman" w:cs="Times New Roman"/>
          <w:sz w:val="24"/>
          <w:szCs w:val="24"/>
        </w:rPr>
        <w:t xml:space="preserve">. Основные задачи и принципы стрессового тестирования. Вероятностный анализ. Тренды. Сценарный анализ в риск-менеджменте. Анализ чувствительности. Анализ Монте-Карло.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>Современные инструменты анализа и управления рисками (</w:t>
      </w:r>
      <w:proofErr w:type="spellStart"/>
      <w:r w:rsidRPr="00F663CD">
        <w:rPr>
          <w:rFonts w:ascii="Times New Roman" w:hAnsi="Times New Roman" w:cs="Times New Roman"/>
          <w:sz w:val="24"/>
          <w:szCs w:val="24"/>
        </w:rPr>
        <w:t>MindManager</w:t>
      </w:r>
      <w:proofErr w:type="spellEnd"/>
      <w:r w:rsidRPr="00F663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3CD">
        <w:rPr>
          <w:rFonts w:ascii="Times New Roman" w:hAnsi="Times New Roman" w:cs="Times New Roman"/>
          <w:sz w:val="24"/>
          <w:szCs w:val="24"/>
        </w:rPr>
        <w:t>MindJet</w:t>
      </w:r>
      <w:proofErr w:type="spellEnd"/>
      <w:r w:rsidRPr="00F663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63CD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F663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63CD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F663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3CD">
        <w:rPr>
          <w:rFonts w:ascii="Times New Roman" w:hAnsi="Times New Roman" w:cs="Times New Roman"/>
          <w:sz w:val="24"/>
          <w:szCs w:val="24"/>
        </w:rPr>
        <w:t>Project</w:t>
      </w:r>
      <w:proofErr w:type="spellEnd"/>
      <w:r w:rsidRPr="00F663CD">
        <w:rPr>
          <w:rFonts w:ascii="Times New Roman" w:hAnsi="Times New Roman" w:cs="Times New Roman"/>
          <w:sz w:val="24"/>
          <w:szCs w:val="24"/>
        </w:rPr>
        <w:t xml:space="preserve"> и др.).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lastRenderedPageBreak/>
        <w:t>Стратегии обработки проектных рисков</w:t>
      </w:r>
      <w:r w:rsidRPr="00F663CD">
        <w:rPr>
          <w:rFonts w:ascii="Times New Roman" w:hAnsi="Times New Roman" w:cs="Times New Roman"/>
          <w:sz w:val="24"/>
          <w:szCs w:val="24"/>
        </w:rPr>
        <w:t>.</w:t>
      </w:r>
      <w:r w:rsidRPr="00F663CD">
        <w:rPr>
          <w:rFonts w:ascii="Times New Roman" w:hAnsi="Times New Roman" w:cs="Times New Roman"/>
          <w:sz w:val="24"/>
          <w:szCs w:val="24"/>
        </w:rPr>
        <w:t xml:space="preserve"> Возможные реакции организации на риски проектов. Стратегии реагирования на риски проекта: преимущества и недостатки. Последствия стратегии отказа от риска, стратегии передачи риска, стратегии принятия риска, стратегии сокращения риска.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>Механизм выбор</w:t>
      </w:r>
      <w:r w:rsidRPr="00F663CD">
        <w:rPr>
          <w:rFonts w:ascii="Times New Roman" w:hAnsi="Times New Roman" w:cs="Times New Roman"/>
          <w:sz w:val="24"/>
          <w:szCs w:val="24"/>
        </w:rPr>
        <w:t>а</w:t>
      </w:r>
      <w:r w:rsidRPr="00F663CD">
        <w:rPr>
          <w:rFonts w:ascii="Times New Roman" w:hAnsi="Times New Roman" w:cs="Times New Roman"/>
          <w:sz w:val="24"/>
          <w:szCs w:val="24"/>
        </w:rPr>
        <w:t xml:space="preserve"> эффективной стратегии обработки риска. Психологическая основа принятия рисковых решений (парадокс Алле, парадокс </w:t>
      </w:r>
      <w:proofErr w:type="spellStart"/>
      <w:r w:rsidRPr="00F663CD">
        <w:rPr>
          <w:rFonts w:ascii="Times New Roman" w:hAnsi="Times New Roman" w:cs="Times New Roman"/>
          <w:sz w:val="24"/>
          <w:szCs w:val="24"/>
        </w:rPr>
        <w:t>Абилин</w:t>
      </w:r>
      <w:proofErr w:type="spellEnd"/>
      <w:r w:rsidRPr="00F663CD">
        <w:rPr>
          <w:rFonts w:ascii="Times New Roman" w:hAnsi="Times New Roman" w:cs="Times New Roman"/>
          <w:sz w:val="24"/>
          <w:szCs w:val="24"/>
        </w:rPr>
        <w:t xml:space="preserve"> и пр.).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>Методы снижения проектных рисков</w:t>
      </w:r>
      <w:r w:rsidRPr="00F663CD">
        <w:rPr>
          <w:rFonts w:ascii="Times New Roman" w:hAnsi="Times New Roman" w:cs="Times New Roman"/>
          <w:sz w:val="24"/>
          <w:szCs w:val="24"/>
        </w:rPr>
        <w:t xml:space="preserve">. </w:t>
      </w:r>
      <w:r w:rsidRPr="00F663CD">
        <w:rPr>
          <w:rFonts w:ascii="Times New Roman" w:hAnsi="Times New Roman" w:cs="Times New Roman"/>
          <w:sz w:val="24"/>
          <w:szCs w:val="24"/>
        </w:rPr>
        <w:t xml:space="preserve"> Сравнительная характеристика методов минимизации рисков. Методы снижения частоты ущерба или предотвращения убытка. </w:t>
      </w:r>
    </w:p>
    <w:p w:rsidR="00F663CD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 xml:space="preserve">Страхование ответственности в организационных отношениях. Диверсификация рисков. Метод разделения риска (дифференциация и дублирование). Хеджирование рисков. Объединение рисков. </w:t>
      </w:r>
      <w:proofErr w:type="spellStart"/>
      <w:r w:rsidRPr="00F663CD">
        <w:rPr>
          <w:rFonts w:ascii="Times New Roman" w:hAnsi="Times New Roman" w:cs="Times New Roman"/>
          <w:sz w:val="24"/>
          <w:szCs w:val="24"/>
        </w:rPr>
        <w:t>Лимитирование</w:t>
      </w:r>
      <w:proofErr w:type="spellEnd"/>
      <w:r w:rsidRPr="00F663CD">
        <w:rPr>
          <w:rFonts w:ascii="Times New Roman" w:hAnsi="Times New Roman" w:cs="Times New Roman"/>
          <w:sz w:val="24"/>
          <w:szCs w:val="24"/>
        </w:rPr>
        <w:t xml:space="preserve"> рисков. Диссипация рисков. </w:t>
      </w:r>
    </w:p>
    <w:p w:rsidR="00F663CD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 xml:space="preserve">Управление риском с помощью производных инструментов. Подходы к финансированию проектных рисков. </w:t>
      </w:r>
    </w:p>
    <w:p w:rsidR="00F663CD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>Финансирование проектных рисков</w:t>
      </w:r>
      <w:r w:rsidR="00F663CD" w:rsidRPr="00F663CD">
        <w:rPr>
          <w:rFonts w:ascii="Times New Roman" w:hAnsi="Times New Roman" w:cs="Times New Roman"/>
          <w:sz w:val="24"/>
          <w:szCs w:val="24"/>
        </w:rPr>
        <w:t>.</w:t>
      </w:r>
      <w:r w:rsidRPr="00F663CD">
        <w:rPr>
          <w:rFonts w:ascii="Times New Roman" w:hAnsi="Times New Roman" w:cs="Times New Roman"/>
          <w:sz w:val="24"/>
          <w:szCs w:val="24"/>
        </w:rPr>
        <w:t xml:space="preserve"> Источники покрытия убытков в проектной деятельности. Принципы покрытия ущерба из прибыли. Привлечение внешних источников финансирования ущерба от рисков проекта. </w:t>
      </w:r>
    </w:p>
    <w:p w:rsidR="00377FBF" w:rsidRPr="00F663CD" w:rsidRDefault="00377FBF" w:rsidP="00F663C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3CD">
        <w:rPr>
          <w:rFonts w:ascii="Times New Roman" w:hAnsi="Times New Roman" w:cs="Times New Roman"/>
          <w:sz w:val="24"/>
          <w:szCs w:val="24"/>
        </w:rPr>
        <w:t xml:space="preserve">Самострахование как метод управления проектными рисками. Резервный фонд: преимущества и недостатки. </w:t>
      </w:r>
      <w:proofErr w:type="spellStart"/>
      <w:r w:rsidRPr="00F663CD">
        <w:rPr>
          <w:rFonts w:ascii="Times New Roman" w:hAnsi="Times New Roman" w:cs="Times New Roman"/>
          <w:sz w:val="24"/>
          <w:szCs w:val="24"/>
        </w:rPr>
        <w:t>Кэптинговые</w:t>
      </w:r>
      <w:proofErr w:type="spellEnd"/>
      <w:r w:rsidRPr="00F663CD">
        <w:rPr>
          <w:rFonts w:ascii="Times New Roman" w:hAnsi="Times New Roman" w:cs="Times New Roman"/>
          <w:sz w:val="24"/>
          <w:szCs w:val="24"/>
        </w:rPr>
        <w:t xml:space="preserve"> компании. Венчурное финансирование проектных рисков.</w:t>
      </w:r>
      <w:bookmarkStart w:id="0" w:name="_GoBack"/>
      <w:bookmarkEnd w:id="0"/>
    </w:p>
    <w:p w:rsidR="00F663CD" w:rsidRPr="00F663CD" w:rsidRDefault="00F663CD" w:rsidP="00F663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63CD" w:rsidRDefault="00F663CD" w:rsidP="00F663CD">
      <w:pPr>
        <w:pStyle w:val="31"/>
        <w:tabs>
          <w:tab w:val="left" w:leader="underscore" w:pos="1144"/>
          <w:tab w:val="left" w:leader="underscore" w:pos="6875"/>
        </w:tabs>
        <w:spacing w:line="240" w:lineRule="auto"/>
        <w:ind w:left="720"/>
        <w:jc w:val="both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</w:p>
    <w:p w:rsidR="00F663CD" w:rsidRDefault="00F663CD" w:rsidP="00F663CD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7EFB">
        <w:rPr>
          <w:rFonts w:ascii="Times New Roman" w:hAnsi="Times New Roman"/>
          <w:b/>
          <w:sz w:val="24"/>
          <w:szCs w:val="24"/>
        </w:rPr>
        <w:t>Реферат</w:t>
      </w:r>
      <w:r w:rsidRPr="00627EFB">
        <w:rPr>
          <w:rFonts w:ascii="Times New Roman" w:hAnsi="Times New Roman"/>
          <w:sz w:val="24"/>
          <w:szCs w:val="24"/>
        </w:rPr>
        <w:t xml:space="preserve"> – это </w:t>
      </w:r>
      <w:r>
        <w:rPr>
          <w:rFonts w:ascii="Times New Roman" w:hAnsi="Times New Roman"/>
          <w:sz w:val="24"/>
          <w:szCs w:val="24"/>
        </w:rPr>
        <w:t xml:space="preserve">обзор </w:t>
      </w:r>
      <w:r w:rsidRPr="00627EFB">
        <w:rPr>
          <w:rFonts w:ascii="Times New Roman" w:hAnsi="Times New Roman"/>
          <w:sz w:val="24"/>
          <w:szCs w:val="24"/>
        </w:rPr>
        <w:t xml:space="preserve">точек зрения различных авторов по рассматриваемой теме (проблеме). </w:t>
      </w:r>
    </w:p>
    <w:p w:rsidR="00F663CD" w:rsidRDefault="00F663CD" w:rsidP="00F663CD">
      <w:pPr>
        <w:spacing w:after="0" w:line="211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подготовке реферата следует придерживаться следующей структуры:</w:t>
      </w:r>
    </w:p>
    <w:p w:rsidR="00F663CD" w:rsidRDefault="00F663CD" w:rsidP="00F663CD">
      <w:pPr>
        <w:spacing w:after="0" w:line="211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663CD" w:rsidRPr="007A6721" w:rsidRDefault="00F663CD" w:rsidP="00F663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A6721">
        <w:rPr>
          <w:rFonts w:ascii="Times New Roman" w:hAnsi="Times New Roman"/>
          <w:b/>
          <w:sz w:val="24"/>
          <w:szCs w:val="24"/>
        </w:rPr>
        <w:t>1. Оглавление</w:t>
      </w:r>
    </w:p>
    <w:p w:rsidR="00F663CD" w:rsidRPr="007A6721" w:rsidRDefault="00F663CD" w:rsidP="00F663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A6721">
        <w:rPr>
          <w:rFonts w:ascii="Times New Roman" w:hAnsi="Times New Roman"/>
          <w:b/>
          <w:sz w:val="24"/>
          <w:szCs w:val="24"/>
        </w:rPr>
        <w:t>2. Введение.</w:t>
      </w:r>
      <w:r w:rsidRPr="007A6721">
        <w:rPr>
          <w:rFonts w:ascii="Times New Roman" w:hAnsi="Times New Roman"/>
          <w:sz w:val="24"/>
          <w:szCs w:val="24"/>
        </w:rPr>
        <w:t xml:space="preserve"> Во введении дать обоснование выбора темы, раскрыть проблематику выбранной темы (объем 1 – 2 с).</w:t>
      </w:r>
    </w:p>
    <w:p w:rsidR="00F663CD" w:rsidRPr="007A6721" w:rsidRDefault="00F663CD" w:rsidP="00F663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A6721">
        <w:rPr>
          <w:rFonts w:ascii="Times New Roman" w:hAnsi="Times New Roman"/>
          <w:b/>
          <w:sz w:val="24"/>
          <w:szCs w:val="24"/>
        </w:rPr>
        <w:t>3. Основная часть.</w:t>
      </w:r>
      <w:r w:rsidRPr="007A6721">
        <w:rPr>
          <w:rFonts w:ascii="Times New Roman" w:hAnsi="Times New Roman"/>
          <w:sz w:val="24"/>
          <w:szCs w:val="24"/>
        </w:rPr>
        <w:t xml:space="preserve"> Привести и аргументировать основные тезисы каждого произведения. Провести их сопоставление. Высказать собственную точку зрения и обосновать ее (объем 5 – 7 с).</w:t>
      </w:r>
    </w:p>
    <w:p w:rsidR="00F663CD" w:rsidRPr="007A6721" w:rsidRDefault="00F663CD" w:rsidP="00F663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A6721">
        <w:rPr>
          <w:rFonts w:ascii="Times New Roman" w:hAnsi="Times New Roman"/>
          <w:b/>
          <w:sz w:val="24"/>
          <w:szCs w:val="24"/>
        </w:rPr>
        <w:t>4.</w:t>
      </w:r>
      <w:r w:rsidRPr="007A6721">
        <w:rPr>
          <w:rFonts w:ascii="Times New Roman" w:hAnsi="Times New Roman"/>
          <w:sz w:val="24"/>
          <w:szCs w:val="24"/>
        </w:rPr>
        <w:t> </w:t>
      </w:r>
      <w:r w:rsidRPr="007A6721">
        <w:rPr>
          <w:rFonts w:ascii="Times New Roman" w:hAnsi="Times New Roman"/>
          <w:b/>
          <w:sz w:val="24"/>
          <w:szCs w:val="24"/>
        </w:rPr>
        <w:t>Заключение.</w:t>
      </w:r>
      <w:r w:rsidRPr="007A6721">
        <w:rPr>
          <w:rFonts w:ascii="Times New Roman" w:hAnsi="Times New Roman"/>
          <w:sz w:val="24"/>
          <w:szCs w:val="24"/>
        </w:rPr>
        <w:t xml:space="preserve"> Сделать общие выводы по проблеме, заявленной в реферате (объем 1 – 2 с).</w:t>
      </w:r>
    </w:p>
    <w:p w:rsidR="00F663CD" w:rsidRDefault="00F663CD" w:rsidP="00F663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A6721">
        <w:rPr>
          <w:rFonts w:ascii="Times New Roman" w:hAnsi="Times New Roman"/>
          <w:b/>
          <w:sz w:val="24"/>
          <w:szCs w:val="24"/>
        </w:rPr>
        <w:t>5. Список реферируемой литературы.</w:t>
      </w:r>
      <w:r w:rsidRPr="007A6721">
        <w:rPr>
          <w:rFonts w:ascii="Times New Roman" w:hAnsi="Times New Roman"/>
          <w:sz w:val="24"/>
          <w:szCs w:val="24"/>
        </w:rPr>
        <w:t xml:space="preserve"> Привести исходные данные реферируемых произведений (автор(ы), название, где опубликован, в каком году).</w:t>
      </w:r>
    </w:p>
    <w:p w:rsidR="00F663CD" w:rsidRDefault="00F663CD" w:rsidP="00F663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663CD" w:rsidRPr="007A6721" w:rsidRDefault="00F663CD" w:rsidP="00F663C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663CD" w:rsidRPr="00F663CD" w:rsidRDefault="00F663CD" w:rsidP="00F663CD">
      <w:pPr>
        <w:spacing w:after="0" w:line="211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663CD">
        <w:rPr>
          <w:rFonts w:ascii="Times New Roman" w:hAnsi="Times New Roman"/>
          <w:sz w:val="24"/>
          <w:szCs w:val="24"/>
        </w:rPr>
        <w:t xml:space="preserve">Общий объем реферата составляет 10 – 12 с формата А4, включая титульный лист, размер шрифта 14 </w:t>
      </w:r>
      <w:proofErr w:type="spellStart"/>
      <w:r w:rsidRPr="00F663CD">
        <w:rPr>
          <w:rFonts w:ascii="Times New Roman" w:hAnsi="Times New Roman"/>
          <w:sz w:val="24"/>
          <w:szCs w:val="24"/>
        </w:rPr>
        <w:t>Пт</w:t>
      </w:r>
      <w:proofErr w:type="spellEnd"/>
      <w:r w:rsidRPr="00F663CD">
        <w:rPr>
          <w:rFonts w:ascii="Times New Roman" w:hAnsi="Times New Roman"/>
          <w:sz w:val="24"/>
          <w:szCs w:val="24"/>
        </w:rPr>
        <w:t xml:space="preserve">, интервал -1,5, шрифт </w:t>
      </w:r>
      <w:proofErr w:type="spellStart"/>
      <w:r w:rsidRPr="00F663CD">
        <w:rPr>
          <w:rFonts w:ascii="Times New Roman" w:hAnsi="Times New Roman"/>
          <w:sz w:val="24"/>
          <w:szCs w:val="24"/>
          <w:lang w:val="en-US"/>
        </w:rPr>
        <w:t>TimesNewRoman</w:t>
      </w:r>
      <w:proofErr w:type="spellEnd"/>
      <w:r w:rsidRPr="00F663CD">
        <w:rPr>
          <w:rFonts w:ascii="Times New Roman" w:hAnsi="Times New Roman"/>
          <w:sz w:val="24"/>
          <w:szCs w:val="24"/>
        </w:rPr>
        <w:t>.</w:t>
      </w:r>
    </w:p>
    <w:p w:rsidR="00F663CD" w:rsidRPr="00F663CD" w:rsidRDefault="00F663CD" w:rsidP="00F663CD">
      <w:pPr>
        <w:tabs>
          <w:tab w:val="num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63CD" w:rsidRPr="00F663CD" w:rsidRDefault="00F663CD" w:rsidP="00F663CD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663CD">
        <w:rPr>
          <w:rFonts w:ascii="Times New Roman" w:hAnsi="Times New Roman"/>
          <w:sz w:val="24"/>
          <w:szCs w:val="24"/>
        </w:rPr>
        <w:t>Основными критериями оценки реферата являются:</w:t>
      </w:r>
    </w:p>
    <w:p w:rsidR="00F663CD" w:rsidRPr="00F663CD" w:rsidRDefault="00F663CD" w:rsidP="00F663CD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63CD">
        <w:rPr>
          <w:rFonts w:ascii="Times New Roman" w:eastAsia="Calibri" w:hAnsi="Times New Roman" w:cs="Times New Roman"/>
          <w:sz w:val="24"/>
          <w:szCs w:val="24"/>
        </w:rPr>
        <w:lastRenderedPageBreak/>
        <w:t>оригинальность текста (не ниже 75%);</w:t>
      </w:r>
    </w:p>
    <w:p w:rsidR="00F663CD" w:rsidRPr="00F663CD" w:rsidRDefault="00F663CD" w:rsidP="00F663CD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63CD">
        <w:rPr>
          <w:rFonts w:ascii="Times New Roman" w:eastAsia="Calibri" w:hAnsi="Times New Roman" w:cs="Times New Roman"/>
          <w:sz w:val="24"/>
          <w:szCs w:val="24"/>
        </w:rPr>
        <w:t>степень отражения реферируемого текста;</w:t>
      </w:r>
    </w:p>
    <w:p w:rsidR="00F663CD" w:rsidRPr="00F663CD" w:rsidRDefault="00F663CD" w:rsidP="00F663CD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63CD">
        <w:rPr>
          <w:rFonts w:ascii="Times New Roman" w:eastAsia="Calibri" w:hAnsi="Times New Roman" w:cs="Times New Roman"/>
          <w:sz w:val="24"/>
          <w:szCs w:val="24"/>
        </w:rPr>
        <w:t>наличие обобщения и собственных выводов в заключении;</w:t>
      </w:r>
    </w:p>
    <w:p w:rsidR="00F663CD" w:rsidRPr="00F663CD" w:rsidRDefault="00F663CD" w:rsidP="00F663CD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63CD">
        <w:rPr>
          <w:rFonts w:ascii="Times New Roman" w:eastAsia="Calibri" w:hAnsi="Times New Roman" w:cs="Times New Roman"/>
          <w:sz w:val="24"/>
          <w:szCs w:val="24"/>
        </w:rPr>
        <w:t>качество оформления реферата.</w:t>
      </w:r>
    </w:p>
    <w:p w:rsidR="00F663CD" w:rsidRPr="00F663CD" w:rsidRDefault="00F663CD" w:rsidP="00F663CD"/>
    <w:p w:rsidR="00F663CD" w:rsidRPr="00F663CD" w:rsidRDefault="00F663CD" w:rsidP="00F663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663CD" w:rsidRPr="00F663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1752D"/>
    <w:multiLevelType w:val="hybridMultilevel"/>
    <w:tmpl w:val="0CDE2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F23F0"/>
    <w:multiLevelType w:val="hybridMultilevel"/>
    <w:tmpl w:val="C49668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FBF"/>
    <w:rsid w:val="00377FBF"/>
    <w:rsid w:val="00D75313"/>
    <w:rsid w:val="00F6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458B98-2C49-424F-AED3-B1F58E1DB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FB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link w:val="71"/>
    <w:uiPriority w:val="99"/>
    <w:rsid w:val="00377FBF"/>
    <w:rPr>
      <w:b/>
      <w:bCs/>
      <w:sz w:val="27"/>
      <w:szCs w:val="27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377FBF"/>
    <w:pPr>
      <w:shd w:val="clear" w:color="auto" w:fill="FFFFFF"/>
      <w:spacing w:after="0" w:line="240" w:lineRule="atLeast"/>
    </w:pPr>
    <w:rPr>
      <w:rFonts w:eastAsiaTheme="minorHAnsi"/>
      <w:b/>
      <w:bCs/>
      <w:sz w:val="27"/>
      <w:szCs w:val="27"/>
      <w:lang w:eastAsia="en-US"/>
    </w:rPr>
  </w:style>
  <w:style w:type="paragraph" w:styleId="a3">
    <w:name w:val="List Paragraph"/>
    <w:basedOn w:val="a"/>
    <w:uiPriority w:val="34"/>
    <w:qFormat/>
    <w:rsid w:val="00377FBF"/>
    <w:pPr>
      <w:ind w:left="720"/>
      <w:contextualSpacing/>
    </w:pPr>
  </w:style>
  <w:style w:type="paragraph" w:customStyle="1" w:styleId="31">
    <w:name w:val="Основной текст (3)1"/>
    <w:basedOn w:val="a"/>
    <w:uiPriority w:val="99"/>
    <w:rsid w:val="00F663CD"/>
    <w:pPr>
      <w:shd w:val="clear" w:color="auto" w:fill="FFFFFF"/>
      <w:spacing w:after="0" w:line="240" w:lineRule="atLeast"/>
      <w:ind w:hanging="380"/>
    </w:pPr>
    <w:rPr>
      <w:rFonts w:eastAsiaTheme="minorHAnsi"/>
      <w:i/>
      <w:i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1</cp:revision>
  <dcterms:created xsi:type="dcterms:W3CDTF">2023-02-17T14:10:00Z</dcterms:created>
  <dcterms:modified xsi:type="dcterms:W3CDTF">2023-02-17T14:23:00Z</dcterms:modified>
</cp:coreProperties>
</file>