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0" w:after="0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/>
        <w:drawing>
          <wp:inline distT="0" distB="0" distL="0" distR="0">
            <wp:extent cx="5938520" cy="106108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" t="-33" r="-6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4"/>
        <w:gridCol w:w="4396"/>
      </w:tblGrid>
      <w:tr>
        <w:trPr/>
        <w:tc>
          <w:tcPr>
            <w:tcW w:w="5464" w:type="dxa"/>
            <w:tcBorders/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 xml:space="preserve">Руководитель практики 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от профильной организации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(профильного структурного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подразделение Университета)*</w:t>
            </w:r>
          </w:p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_______________/………………/</w:t>
            </w:r>
          </w:p>
          <w:p>
            <w:pPr>
              <w:pStyle w:val="Normal"/>
              <w:spacing w:lineRule="atLeast" w:line="100"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«</w:t>
            </w:r>
            <w:r>
              <w:rPr>
                <w:rFonts w:cs="Times New Roman" w:ascii="Times New Roman" w:hAnsi="Times New Roman"/>
                <w:bCs/>
                <w:i/>
                <w:iCs/>
                <w:sz w:val="24"/>
                <w:szCs w:val="24"/>
              </w:rPr>
              <w:t>__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» ______________20</w:t>
            </w:r>
            <w:r>
              <w:rPr>
                <w:rFonts w:cs="Times New Roman" w:ascii="Times New Roman" w:hAnsi="Times New Roman"/>
                <w:bCs/>
                <w:i/>
                <w:iCs/>
                <w:sz w:val="24"/>
                <w:szCs w:val="24"/>
              </w:rPr>
              <w:t>__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 xml:space="preserve"> г.</w:t>
            </w:r>
          </w:p>
          <w:p>
            <w:pPr>
              <w:pStyle w:val="Normal"/>
              <w:spacing w:lineRule="atLeast" w:line="100" w:before="0" w:after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</w:tc>
        <w:tc>
          <w:tcPr>
            <w:tcW w:w="4396" w:type="dxa"/>
            <w:tcBorders/>
          </w:tcPr>
          <w:p>
            <w:pPr>
              <w:pStyle w:val="Normal"/>
              <w:spacing w:lineRule="atLeast" w:line="100" w:before="0" w:after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 xml:space="preserve">Руководитель практики </w:t>
            </w:r>
          </w:p>
          <w:p>
            <w:pPr>
              <w:pStyle w:val="Normal"/>
              <w:spacing w:lineRule="atLeast" w:line="100" w:before="0" w:after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80645</wp:posOffset>
                  </wp:positionV>
                  <wp:extent cx="936625" cy="586105"/>
                  <wp:effectExtent l="0" t="0" r="0" b="0"/>
                  <wp:wrapNone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0" t="-38" r="-30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58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о</w:t>
            </w: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т Университета</w:t>
            </w:r>
          </w:p>
          <w:p>
            <w:pPr>
              <w:pStyle w:val="Normal"/>
              <w:spacing w:lineRule="atLeast" w:line="100" w:before="0" w:after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tLeast" w:line="100" w:before="0" w:after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tLeast" w:line="100" w:before="0" w:after="0"/>
              <w:jc w:val="right"/>
              <w:rPr/>
            </w:pPr>
            <w:r>
              <w:rPr>
                <w:rFonts w:cs="Times New Roman" w:ascii="Times New Roman" w:hAnsi="Times New Roman"/>
                <w:bCs/>
                <w:iCs/>
                <w:sz w:val="24"/>
                <w:szCs w:val="24"/>
              </w:rPr>
              <w:t>_________________/Парфенов К. В./ «15» апреля 2022 г.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ИНДИВИДУАЛЬНОЕ ЗАДАНИЕ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Студенту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Миграновой Ленаре Нурисламовне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Группы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д.ЭЗДтв 32.1/Б1-19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Направление подготовки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38.03.04 Государственное и муниципальное управление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Направленность (профиль)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  <w:lang w:eastAsia="ru-RU" w:bidi="ru-RU"/>
        </w:rPr>
        <w:t>Государственное и муниципальное управление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Вид практики 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>производственная практика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Тип практики</w:t>
      </w:r>
      <w:r>
        <w:rPr>
          <w:rFonts w:cs="Times New Roman" w:ascii="Times New Roman" w:hAnsi="Times New Roman"/>
          <w:i/>
          <w:color w:val="000000"/>
          <w:sz w:val="24"/>
          <w:szCs w:val="20"/>
        </w:rPr>
        <w:t xml:space="preserve"> практика по получению профессиональных умений и опыта профессиональной деятельности, в т.ч. технологическая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Период практики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с 25 апреля 2022 г. по 08 мая 2022 г.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Профильная организация (профильное структурное подразделение Университета)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Кафедра экономики городского хозяйства и сферы обслуживания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  <w:t>С требованиями охраны труда, техники безопасности, пожарной безопасности, а также правилами внутреннего трудового распорядка в Организации ознакомлен.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cs="Times New Roman" w:ascii="Times New Roman" w:hAnsi="Times New Roman"/>
          <w:bCs/>
          <w:iCs/>
          <w:sz w:val="24"/>
          <w:szCs w:val="24"/>
        </w:rPr>
        <w:t>_______________/………………………/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Cs/>
          <w:iCs/>
          <w:sz w:val="20"/>
          <w:szCs w:val="20"/>
        </w:rPr>
        <w:t>Подпись                        ФИО обучающегося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*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для практики на базе кафедры Университета не вносится</w:t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</w:r>
      <w:r>
        <w:br w:type="page"/>
      </w:r>
    </w:p>
    <w:p>
      <w:pPr>
        <w:pStyle w:val="Normal"/>
        <w:spacing w:lineRule="atLeast" w:line="100" w:before="0" w:after="0"/>
        <w:ind w:right="226"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  <w:sz w:val="24"/>
          <w:szCs w:val="24"/>
        </w:rPr>
        <w:t>Содержание практики</w:t>
      </w:r>
    </w:p>
    <w:tbl>
      <w:tblPr>
        <w:tblW w:w="9616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4962"/>
        <w:gridCol w:w="1699"/>
        <w:gridCol w:w="1565"/>
        <w:gridCol w:w="7"/>
      </w:tblGrid>
      <w:tr>
        <w:trPr>
          <w:tblHeader w:val="true"/>
          <w:trHeight w:val="23" w:hRule="atLeast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Период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Содержание задания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Формируемые компетенции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Отметка о выполнении**</w:t>
            </w:r>
          </w:p>
        </w:tc>
      </w:tr>
      <w:tr>
        <w:trPr>
          <w:trHeight w:val="23" w:hRule="atLeast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</w:rPr>
              <w:t>1-я неделя</w:t>
            </w:r>
          </w:p>
        </w:tc>
        <w:tc>
          <w:tcPr>
            <w:tcW w:w="8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  <w:i/>
                <w:iCs/>
              </w:rPr>
              <w:t>Виды проделанной работы, результаты которой необходимо отразить в отчете:</w:t>
            </w:r>
          </w:p>
        </w:tc>
      </w:tr>
      <w:tr>
        <w:trPr>
          <w:trHeight w:val="1098" w:hRule="atLeast"/>
        </w:trPr>
        <w:tc>
          <w:tcPr>
            <w:tcW w:w="13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374" w:leader="none"/>
                <w:tab w:val="left" w:pos="65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cs="Times New Roman" w:ascii="Times New Roman" w:hAnsi="Times New Roman"/>
                <w:i/>
                <w:iCs/>
              </w:rPr>
              <w:t>Раздел 1. Результаты сбора и обработки эмпирического материала в соответствии с индивидуальным заданием и задачами аналитической (второй) главы ВКР, в том числе результаты: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>1.1. Изучения общей характеристики органа государственной власти или местного самоуправления, некоммерческой организации, в т.ч.: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>- наименование, основные направления деятельности, задачи и функции;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>- нормативно-правовые документы, регулирующие и регламентирующие деятельность;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>- общая организационная структура и принципы формирования команды;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>- кадровый состав, диагностика организационной культуры и кадровая политика;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 xml:space="preserve">1.2. Исследования планирования и организации деятельности органа государственной власти или местного самоуправления, некоммерческой организации, в т.ч.: 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 xml:space="preserve">- особенности разработки планов (программ); 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374" w:leader="none"/>
                <w:tab w:val="left" w:pos="65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  <w:lang w:eastAsia="ru-RU" w:bidi="ru-RU"/>
              </w:rPr>
              <w:t>- процессы групповой динамики и принципы организационного проектирования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ПК-2, ПК-18, ПК-19, ПК-23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144" w:hRule="atLeast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</w:rPr>
              <w:t>2-я неделя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374" w:leader="none"/>
                <w:tab w:val="left" w:pos="65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  <w:iCs/>
                <w:lang w:eastAsia="ru-RU" w:bidi="ru-RU"/>
              </w:rPr>
            </w:pPr>
            <w:r>
              <w:rPr>
                <w:rFonts w:cs="Times New Roman" w:ascii="Times New Roman" w:hAnsi="Times New Roman"/>
                <w:i/>
                <w:iCs/>
              </w:rPr>
              <w:t>Раздел 2. Анализ и интерпретация информации и/или показателей в соответствии с индивидуальным заданием и задачами аналитической (второй) главы ВКР, в том числе результаты:</w:t>
            </w:r>
          </w:p>
          <w:p>
            <w:pPr>
              <w:pStyle w:val="ListParagraph"/>
              <w:tabs>
                <w:tab w:val="clear" w:pos="708"/>
                <w:tab w:val="left" w:pos="425" w:leader="none"/>
                <w:tab w:val="left" w:pos="698" w:leader="none"/>
              </w:tabs>
              <w:spacing w:lineRule="atLeast" w:line="100" w:before="0" w:after="0"/>
              <w:ind w:left="0" w:right="0" w:hanging="0"/>
              <w:jc w:val="both"/>
              <w:rPr>
                <w:rFonts w:ascii="Times New Roman" w:hAnsi="Times New Roman" w:cs="Times New Roman"/>
                <w:iCs/>
                <w:lang w:eastAsia="ru-RU" w:bidi="ru-RU"/>
              </w:rPr>
            </w:pPr>
            <w:r>
              <w:rPr>
                <w:rFonts w:cs="Times New Roman" w:ascii="Times New Roman" w:hAnsi="Times New Roman"/>
                <w:iCs/>
                <w:lang w:eastAsia="ru-RU" w:bidi="ru-RU"/>
              </w:rPr>
              <w:t>2.1. Анализа современных тенденций развития органа государственного и/или муниципального управления, в т.ч.:</w:t>
            </w:r>
          </w:p>
          <w:p>
            <w:pPr>
              <w:pStyle w:val="ListParagraph"/>
              <w:tabs>
                <w:tab w:val="clear" w:pos="708"/>
                <w:tab w:val="left" w:pos="425" w:leader="none"/>
                <w:tab w:val="left" w:pos="698" w:leader="none"/>
              </w:tabs>
              <w:spacing w:lineRule="atLeast" w:line="100" w:before="0" w:after="0"/>
              <w:ind w:left="0" w:right="0" w:hanging="0"/>
              <w:jc w:val="both"/>
              <w:rPr/>
            </w:pPr>
            <w:r>
              <w:rPr>
                <w:rFonts w:cs="Times New Roman" w:ascii="Times New Roman" w:hAnsi="Times New Roman"/>
                <w:iCs/>
                <w:lang w:eastAsia="ru-RU" w:bidi="ru-RU"/>
              </w:rPr>
              <w:t xml:space="preserve">- </w:t>
            </w:r>
            <w:r>
              <w:rPr>
                <w:rFonts w:cs="Times New Roman" w:ascii="Times New Roman" w:hAnsi="Times New Roman"/>
              </w:rPr>
              <w:t>общие принципы управления для решения стратегических и оперативных управленческих задач.</w:t>
            </w:r>
          </w:p>
          <w:p>
            <w:pPr>
              <w:pStyle w:val="Normal"/>
              <w:tabs>
                <w:tab w:val="clear" w:pos="708"/>
                <w:tab w:val="left" w:pos="425" w:leader="none"/>
                <w:tab w:val="left" w:pos="698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  <w:iCs/>
                <w:lang w:eastAsia="ru-RU" w:bidi="ru-RU"/>
              </w:rPr>
            </w:pPr>
            <w:r>
              <w:rPr>
                <w:rFonts w:cs="Times New Roman" w:ascii="Times New Roman" w:hAnsi="Times New Roman"/>
              </w:rPr>
              <w:t>- основные индикаторы (показатели), характеризующие эффективность принятых и исполненных управленческих или стратегических решений (вариативно; на примере конкретного решения, принятого и исполненного);</w:t>
            </w:r>
          </w:p>
          <w:p>
            <w:pPr>
              <w:pStyle w:val="Normal"/>
              <w:tabs>
                <w:tab w:val="clear" w:pos="708"/>
                <w:tab w:val="left" w:pos="425" w:leader="none"/>
                <w:tab w:val="left" w:pos="698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  <w:lang w:eastAsia="ru-RU" w:bidi="ru-RU"/>
              </w:rPr>
              <w:t>- оценка эффективности принятого и исполненного управленческого или стратегического решения (вариативно; на примере конкретного решения, принятого и исполненного).</w:t>
            </w:r>
          </w:p>
          <w:p>
            <w:pPr>
              <w:pStyle w:val="Normal"/>
              <w:tabs>
                <w:tab w:val="clear" w:pos="708"/>
                <w:tab w:val="left" w:pos="501" w:leader="none"/>
                <w:tab w:val="left" w:pos="652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2.2. Исследования технологий и приемов, обеспечивающих оказание государственных и/или муниципальных услуг физическим и юридическим лицам</w:t>
            </w:r>
          </w:p>
          <w:p>
            <w:pPr>
              <w:pStyle w:val="Normal"/>
              <w:tabs>
                <w:tab w:val="clear" w:pos="708"/>
                <w:tab w:val="left" w:pos="501" w:leader="none"/>
                <w:tab w:val="left" w:pos="652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- виды государственных и/или муниципальных услуг;</w:t>
            </w:r>
          </w:p>
          <w:p>
            <w:pPr>
              <w:pStyle w:val="Normal"/>
              <w:tabs>
                <w:tab w:val="clear" w:pos="708"/>
                <w:tab w:val="left" w:pos="501" w:leader="none"/>
                <w:tab w:val="left" w:pos="652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cs="Times New Roman" w:ascii="Times New Roman" w:hAnsi="Times New Roman"/>
                <w:iCs/>
              </w:rPr>
              <w:t>- организация предоставления государственных и/или муниципальных услуг;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374" w:leader="none"/>
                <w:tab w:val="left" w:pos="65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Cs/>
              </w:rPr>
              <w:t>- технологии и приемы предоставления государственных и/или муниципальных услуг.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</w:rPr>
              <w:t>ПК-2, ПК-23, ПК-24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1074" w:hRule="atLeast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/>
              </w:rPr>
              <w:t>В течение 5 дней после окончания практики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i/>
                <w:iCs/>
              </w:rPr>
              <w:t>Раздел 3. Систематизация полученных данных и оформление их в Отчет в соответствии с поставленными задачами в рамках аналитической (второй) главы выпускной квалификационной работы.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ПК-23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10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widowControl w:val="false"/>
        <w:spacing w:lineRule="atLeast" w:line="100" w:before="0" w:after="0"/>
        <w:ind w:firstLine="709"/>
        <w:jc w:val="both"/>
        <w:rPr>
          <w:rFonts w:ascii="Times New Roman" w:hAnsi="Times New Roman" w:eastAsia="MS Mincho;Arial Unicode MS" w:cs="Times New Roman"/>
          <w:sz w:val="24"/>
          <w:szCs w:val="24"/>
          <w:lang w:eastAsia="ru-RU" w:bidi="ru-RU"/>
        </w:rPr>
      </w:pPr>
      <w:r>
        <w:rPr>
          <w:rFonts w:eastAsia="MS Mincho;Arial Unicode MS" w:cs="Times New Roman" w:ascii="Times New Roman" w:hAnsi="Times New Roman"/>
          <w:i/>
          <w:sz w:val="24"/>
          <w:szCs w:val="24"/>
          <w:lang w:eastAsia="ru-RU" w:bidi="ru-RU"/>
        </w:rPr>
        <w:t>** проставляется руководителем практики от Университета</w:t>
      </w:r>
    </w:p>
    <w:p>
      <w:pPr>
        <w:pStyle w:val="Normal"/>
        <w:widowControl w:val="false"/>
        <w:spacing w:lineRule="atLeast" w:line="100" w:before="0" w:after="0"/>
        <w:ind w:firstLine="709"/>
        <w:jc w:val="both"/>
        <w:rPr>
          <w:rFonts w:ascii="Times New Roman" w:hAnsi="Times New Roman" w:eastAsia="MS Mincho;Arial Unicode MS" w:cs="Times New Roman"/>
          <w:sz w:val="24"/>
          <w:szCs w:val="24"/>
          <w:lang w:eastAsia="ru-RU" w:bidi="ru-RU"/>
        </w:rPr>
      </w:pPr>
      <w:r>
        <w:rPr>
          <w:rFonts w:eastAsia="MS Mincho;Arial Unicode MS" w:cs="Times New Roman" w:ascii="Times New Roman" w:hAnsi="Times New Roman"/>
          <w:sz w:val="24"/>
          <w:szCs w:val="24"/>
          <w:lang w:eastAsia="ru-RU" w:bidi="ru-RU"/>
        </w:rPr>
      </w:r>
    </w:p>
    <w:p>
      <w:pPr>
        <w:pStyle w:val="Normal"/>
        <w:widowControl w:val="false"/>
        <w:tabs>
          <w:tab w:val="clear" w:pos="708"/>
          <w:tab w:val="left" w:pos="1447" w:leader="none"/>
          <w:tab w:val="left" w:pos="3143" w:leader="none"/>
          <w:tab w:val="left" w:pos="4446" w:leader="none"/>
          <w:tab w:val="left" w:pos="5641" w:leader="none"/>
          <w:tab w:val="left" w:pos="7338" w:leader="none"/>
          <w:tab w:val="left" w:pos="9356" w:leader="none"/>
        </w:tabs>
        <w:spacing w:lineRule="atLeast" w:line="100" w:before="0" w:after="0"/>
        <w:jc w:val="center"/>
        <w:rPr>
          <w:rFonts w:ascii="Times New Roman" w:hAnsi="Times New Roman" w:cs="Times New Roman"/>
          <w:b/>
          <w:b/>
          <w:bCs/>
          <w:iCs/>
          <w:sz w:val="20"/>
          <w:szCs w:val="20"/>
        </w:rPr>
      </w:pPr>
      <w:r>
        <w:rPr>
          <w:rFonts w:cs="Times New Roman" w:ascii="Times New Roman" w:hAnsi="Times New Roman"/>
          <w:b/>
          <w:iCs/>
          <w:sz w:val="24"/>
          <w:szCs w:val="24"/>
        </w:rPr>
        <w:t>Планируемые результаты практики</w:t>
      </w:r>
    </w:p>
    <w:tbl>
      <w:tblPr>
        <w:tblW w:w="9507" w:type="dxa"/>
        <w:jc w:val="left"/>
        <w:tblInd w:w="-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7948"/>
      </w:tblGrid>
      <w:tr>
        <w:trPr>
          <w:tblHeader w:val="true"/>
          <w:trHeight w:val="239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Коды компетенций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tLeast" w:line="10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Содержание компетенций</w:t>
            </w:r>
          </w:p>
        </w:tc>
      </w:tr>
      <w:tr>
        <w:trPr/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ПК-2 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 w:bidi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 w:bidi="ru-RU"/>
              </w:rPr>
              <w:t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</w:p>
        </w:tc>
      </w:tr>
      <w:tr>
        <w:trPr>
          <w:trHeight w:val="717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ПК – 18 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способностью принимать участие в проектировании организационных действий, умением эффективно исполнять служебные (трудовые) обязанности</w:t>
            </w:r>
          </w:p>
        </w:tc>
      </w:tr>
      <w:tr>
        <w:trPr>
          <w:trHeight w:val="557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ПК-19 - 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способностью эффективно участвовать в групповой работе на основе знания процессов групповой динамики и принципов формирования команды</w:t>
            </w:r>
          </w:p>
        </w:tc>
      </w:tr>
      <w:tr>
        <w:trPr>
          <w:trHeight w:val="1451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ПК-23 -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владением навыками планирования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коммерческих и некоммерческих организаций</w:t>
            </w:r>
          </w:p>
        </w:tc>
      </w:tr>
      <w:tr>
        <w:trPr>
          <w:trHeight w:val="515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10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ПК-24 </w:t>
            </w:r>
          </w:p>
        </w:tc>
        <w:tc>
          <w:tcPr>
            <w:tcW w:w="7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владением технологиями, приемами, обеспечивающими оказание государственных и муниципальных услуг физическим и юридическим лицам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76" w:before="0" w:after="200"/>
        <w:ind w:hanging="0"/>
        <w:rPr/>
      </w:pPr>
      <w:r>
        <w:rPr/>
      </w:r>
    </w:p>
    <w:sectPr>
      <w:type w:val="nextPage"/>
      <w:pgSz w:w="11906" w:h="16838"/>
      <w:pgMar w:left="1701" w:right="850" w:header="0" w:top="1134" w:footer="0" w:bottom="709" w:gutter="0"/>
      <w:pgNumType w:fmt="decimal"/>
      <w:formProt w:val="false"/>
      <w:textDirection w:val="lrTb"/>
      <w:docGrid w:type="default" w:linePitch="360" w:charSpace="42949650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cc"/>
    <w:family w:val="swiss"/>
    <w:pitch w:val="variable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0"/>
  <w:displayBackgroundShape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bidi w:val="0"/>
      <w:spacing w:lineRule="auto" w:line="276" w:before="0" w:after="200"/>
      <w:ind w:hanging="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Style15">
    <w:name w:val="Текст выноски Знак"/>
    <w:basedOn w:val="DefaultParagraphFont"/>
    <w:qFormat/>
    <w:rPr>
      <w:rFonts w:ascii="Tahoma" w:hAnsi="Tahoma" w:eastAsia="Times New Roman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6">
    <w:name w:val="Заголовок"/>
    <w:basedOn w:val="Normal"/>
    <w:next w:val="TextBody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>
      <w:numPr>
        <w:ilvl w:val="0"/>
        <w:numId w:val="0"/>
      </w:numPr>
      <w:spacing w:lineRule="atLeast" w:line="100" w:before="0" w:after="0"/>
      <w:ind w:hanging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Application>LibreOffice/7.0.6.2$Linux_X86_64 LibreOffice_project/00$Build-2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2022-04-24T23:46:00Z</dcterms:created>
  <dc:creator>Бушуева Наталья Владимировна</dc:creator>
  <dc:description/>
  <cp:keywords> </cp:keywords>
  <dc:language>en-US</dc:language>
  <cp:lastModifiedBy>Kirill Parfenov</cp:lastModifiedBy>
  <dcterms:modified xsi:type="dcterms:W3CDTF">2022-04-24T23:47:00Z</dcterms:modified>
  <cp:revision>4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