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8"/>
        <w:jc w:val="center"/>
        <w:rPr>
          <w:i/>
          <w:iCs/>
        </w:rPr>
      </w:pPr>
      <w:r>
        <w:rPr>
          <w:i/>
          <w:iCs/>
        </w:rPr>
      </w:r>
      <w:r/>
    </w:p>
    <w:p>
      <w:pPr>
        <w:pStyle w:val="608"/>
        <w:jc w:val="center"/>
        <w:rPr>
          <w:b/>
          <w:bCs/>
        </w:rPr>
      </w:pPr>
      <w:r>
        <w:rPr>
          <w:b/>
          <w:bCs/>
        </w:rPr>
        <w:t xml:space="preserve">АТТЕСТАЦИОННЫЙ ЛИСТ </w:t>
      </w:r>
      <w:r/>
    </w:p>
    <w:p>
      <w:pPr>
        <w:pStyle w:val="608"/>
        <w:ind w:firstLine="567"/>
        <w:jc w:val="center"/>
        <w:rPr>
          <w:u w:val="single"/>
        </w:rPr>
      </w:pPr>
      <w:r>
        <w:rPr>
          <w:u w:val="single"/>
        </w:rPr>
        <w:t xml:space="preserve">______________________________________________________________________</w:t>
      </w:r>
      <w:r>
        <w:rPr>
          <w:u w:val="single"/>
        </w:rPr>
        <w:t xml:space="preserve">,</w:t>
      </w:r>
      <w:r/>
    </w:p>
    <w:p>
      <w:pPr>
        <w:pStyle w:val="608"/>
        <w:jc w:val="center"/>
        <w:rPr>
          <w:i/>
          <w:iCs/>
        </w:rPr>
      </w:pPr>
      <w:r>
        <w:rPr>
          <w:i/>
          <w:iCs/>
        </w:rPr>
        <w:t xml:space="preserve">(ФИО студента)</w:t>
      </w:r>
      <w:r/>
    </w:p>
    <w:p>
      <w:pPr>
        <w:pStyle w:val="608"/>
        <w:jc w:val="center"/>
      </w:pPr>
      <w:r/>
      <w:r/>
    </w:p>
    <w:p>
      <w:pPr>
        <w:pStyle w:val="608"/>
        <w:jc w:val="both"/>
        <w:spacing w:line="276" w:lineRule="auto"/>
        <w:rPr>
          <w:b/>
          <w:i/>
        </w:rPr>
      </w:pPr>
      <w:r>
        <w:t xml:space="preserve">Группа </w:t>
      </w:r>
      <w:r>
        <w:rPr>
          <w:u w:val="single"/>
        </w:rPr>
        <w:t xml:space="preserve">Ф</w:t>
      </w:r>
      <w:r>
        <w:t xml:space="preserve"> Курс </w:t>
      </w:r>
      <w:r>
        <w:rPr>
          <w:u w:val="single"/>
        </w:rPr>
        <w:t xml:space="preserve">3</w:t>
      </w:r>
      <w:r>
        <w:t xml:space="preserve"> Специальность </w:t>
      </w:r>
      <w:r>
        <w:rPr>
          <w:u w:val="single"/>
        </w:rPr>
        <w:t xml:space="preserve">38.02.0</w:t>
      </w:r>
      <w:r>
        <w:rPr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Финансы</w:t>
      </w:r>
      <w:r/>
    </w:p>
    <w:p>
      <w:pPr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Учебная практика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«Ознакомление </w:t>
      </w:r>
      <w:r>
        <w:rPr>
          <w:rFonts w:ascii="Times New Roman" w:hAnsi="Times New Roman"/>
          <w:sz w:val="24"/>
          <w:szCs w:val="24"/>
          <w:u w:val="single"/>
        </w:rPr>
        <w:t xml:space="preserve">с финансово-экономическим планированием в секторе государственного и муниципального управления и организация исполнения бюджетов бюджетной системы Российской Федерации</w:t>
      </w:r>
      <w:r>
        <w:rPr>
          <w:rFonts w:ascii="Times New Roman" w:hAnsi="Times New Roman"/>
          <w:sz w:val="24"/>
          <w:szCs w:val="24"/>
          <w:u w:val="single"/>
        </w:rPr>
        <w:t xml:space="preserve">»</w:t>
      </w:r>
      <w:r/>
    </w:p>
    <w:p>
      <w:pPr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профессиональному модулю 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Финансово-экономическое планирование в секторе государственного </w:t>
      </w:r>
      <w:r>
        <w:rPr>
          <w:rFonts w:ascii="Times New Roman" w:hAnsi="Times New Roman"/>
          <w:sz w:val="24"/>
          <w:szCs w:val="24"/>
          <w:u w:val="single"/>
        </w:rPr>
        <w:t xml:space="preserve">и муниципального управления и организация исполнения бюджетов бюджетной системы Российской Федерации</w:t>
      </w:r>
      <w:r>
        <w:rPr>
          <w:rFonts w:ascii="Times New Roman" w:hAnsi="Times New Roman"/>
          <w:sz w:val="24"/>
          <w:szCs w:val="24"/>
          <w:u w:val="single"/>
        </w:rPr>
        <w:t xml:space="preserve">»</w:t>
      </w:r>
      <w:r/>
    </w:p>
    <w:p>
      <w:pPr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объеме </w:t>
      </w:r>
      <w:r>
        <w:rPr>
          <w:rFonts w:ascii="Times New Roman" w:hAnsi="Times New Roman"/>
          <w:sz w:val="24"/>
          <w:szCs w:val="24"/>
          <w:u w:val="single"/>
        </w:rPr>
        <w:t xml:space="preserve">36 </w:t>
      </w:r>
      <w:r>
        <w:rPr>
          <w:rFonts w:ascii="Times New Roman" w:hAnsi="Times New Roman"/>
          <w:sz w:val="24"/>
          <w:szCs w:val="24"/>
        </w:rPr>
        <w:t xml:space="preserve">часов. </w:t>
      </w:r>
      <w:r/>
    </w:p>
    <w:p>
      <w:pPr>
        <w:pStyle w:val="608"/>
        <w:spacing w:line="276" w:lineRule="auto"/>
        <w:rPr>
          <w:u w:val="single"/>
        </w:rPr>
      </w:pPr>
      <w:r>
        <w:t xml:space="preserve">Место проведения практики: </w:t>
      </w:r>
      <w:r>
        <w:rPr>
          <w:u w:val="single"/>
        </w:rPr>
        <w:t xml:space="preserve">АН ПОО «Колледж информационных технологий и финансов»</w:t>
      </w:r>
      <w:r/>
    </w:p>
    <w:p>
      <w:pPr>
        <w:pStyle w:val="608"/>
        <w:spacing w:line="276" w:lineRule="auto"/>
      </w:pPr>
      <w:r>
        <w:t xml:space="preserve">Сроки проведения практики </w:t>
      </w:r>
      <w:r>
        <w:rPr>
          <w:color w:val="FF0000"/>
        </w:rPr>
        <w:t xml:space="preserve">с </w:t>
      </w:r>
      <w:r>
        <w:rPr>
          <w:color w:val="FF0000"/>
        </w:rPr>
        <w:t xml:space="preserve">6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>
        <w:rPr>
          <w:color w:val="FF0000"/>
        </w:rPr>
        <w:t xml:space="preserve"> по </w:t>
      </w:r>
      <w:r>
        <w:rPr>
          <w:color w:val="FF0000"/>
          <w:u w:val="single"/>
        </w:rPr>
        <w:t xml:space="preserve">1</w:t>
      </w:r>
      <w:r>
        <w:rPr>
          <w:color w:val="FF0000"/>
          <w:u w:val="single"/>
        </w:rPr>
        <w:t xml:space="preserve">0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>
        <w:t xml:space="preserve"> </w:t>
      </w:r>
      <w:r/>
    </w:p>
    <w:p>
      <w:pPr>
        <w:pStyle w:val="608"/>
        <w:spacing w:line="360" w:lineRule="auto"/>
      </w:pPr>
      <w:r>
        <w:t xml:space="preserve">Сведения об уровне освоения профессиональных компетенций по результатам прохождения практики</w:t>
      </w:r>
      <w:r/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6095"/>
        <w:gridCol w:w="1843"/>
      </w:tblGrid>
      <w:tr>
        <w:trPr>
          <w:trHeight w:val="300"/>
        </w:trPr>
        <w:tc>
          <w:tcPr>
            <w:tcW w:w="2552" w:type="dxa"/>
            <w:vMerge w:val="restart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Компетенции</w:t>
            </w:r>
            <w:r/>
          </w:p>
        </w:tc>
        <w:tc>
          <w:tcPr>
            <w:tcW w:w="6095" w:type="dxa"/>
            <w:vMerge w:val="restart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Умения, практический опыт, приобретенные во время практики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освоения*</w:t>
            </w:r>
            <w:r/>
          </w:p>
        </w:tc>
      </w:tr>
      <w:tr>
        <w:trPr>
          <w:trHeight w:val="300"/>
        </w:trPr>
        <w:tc>
          <w:tcPr>
            <w:tcW w:w="2552" w:type="dxa"/>
            <w:vMerge w:val="continue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6095" w:type="dxa"/>
            <w:vMerge w:val="continue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 практики от колледжа</w:t>
            </w:r>
            <w:r/>
          </w:p>
        </w:tc>
      </w:tr>
      <w:tr>
        <w:trPr>
          <w:trHeight w:val="216"/>
        </w:trPr>
        <w:tc>
          <w:tcPr>
            <w:tcW w:w="2552" w:type="dxa"/>
            <w:textDirection w:val="lrTb"/>
            <w:noWrap w:val="false"/>
          </w:tcPr>
          <w:p>
            <w:pPr>
              <w:pStyle w:val="608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ПК 1.1. Рассчитывать показатели проектов бюджетов бюджетной системы Российской Федерации</w:t>
            </w:r>
            <w:r/>
          </w:p>
        </w:tc>
        <w:tc>
          <w:tcPr>
            <w:tcW w:w="609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Практический опыт: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определения показателей проектов бюджетов бюджетной системы Российской Федерации.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Умения: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использовать бюджетное законода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тельство, подзаконные нормативные правовые акты в своей профессиональной деятельности; проводить мониторинг исполнения бюджетов бюджетной системы Российской Федерации, бюджетных смет и планов бюджетных и автономных учреждений; применять бюджетную классифик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ацию Российской Федерации в профессиональной деятельности; составлять сводные перечни главных распорядителей (распорядителей) и получателей бюджетных средств, главных администраторов доходов бюджета и источников финансирования дефицита бюджета; формировать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государственные (муниципальные) задания для государственных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(муниципальных) учреждений с использованием базовых и ведомственных перечней государственных (муниципальных)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услуг и работ и определять размеры субсидий; формировать реестры расходных обязательств муниципального образования; проектировать предельные объемы бюджетных средств по главным 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спорядителям (распорядителям) средств бюджетов, государственным и муниципальным учреждениям; проводить мониторинг целевых программ, финансируемых из бюджетов бюджетной системы Российской Федерации; определять дефицит бюджета и источники его финансирования.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552" w:type="dxa"/>
            <w:textDirection w:val="lrTb"/>
            <w:noWrap w:val="false"/>
          </w:tcPr>
          <w:p>
            <w:pPr>
              <w:pStyle w:val="60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ПК 1.2. Обеспечивать исполнение бюджетов бюджетной системы Российской Федерации</w:t>
            </w:r>
            <w:r/>
          </w:p>
        </w:tc>
        <w:tc>
          <w:tcPr>
            <w:tcW w:w="609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Практический опыт: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организации исполнения бюджетов бюджетной системы Российской Федерации.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Умения: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составлять сводную бюджетную роспись; оформлять платежные документы (электронные заявки на кассовые расходы и платежные поручения) для проведения кассовых выплат.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552" w:type="dxa"/>
            <w:textDirection w:val="lrTb"/>
            <w:noWrap w:val="false"/>
          </w:tcPr>
          <w:p>
            <w:pPr>
              <w:pStyle w:val="60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ПК 1.3. Осуществлять контроль за совершением операций со средствами бюджетов бюджетной системы Российской Федерации</w:t>
            </w:r>
            <w:r/>
          </w:p>
        </w:tc>
        <w:tc>
          <w:tcPr>
            <w:tcW w:w="609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Практический опыт: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осуществления контроля за своевременным совершением операций со средствами бюджетов бюджетной системы Российской Федерации, их целевым и эффективным использованием.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Умения: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проводить проверку платежных документов получателя бюджетных средств, представленных для проведения кассовых выплат.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552" w:type="dxa"/>
            <w:textDirection w:val="lrTb"/>
            <w:noWrap w:val="false"/>
          </w:tcPr>
          <w:p>
            <w:pPr>
              <w:pStyle w:val="60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ПК 1.4. Составлять плановые документы государственных и муниципальных учреждений и обоснования к ним</w:t>
            </w:r>
            <w:r/>
          </w:p>
        </w:tc>
        <w:tc>
          <w:tcPr>
            <w:tcW w:w="609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Практический опыт: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определения показателей бюджетных смет казенных учреждений, планов финансово-хозяйственной деятельности бюджетных и автономных учреждений.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Умения: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руководствоваться действующими нормативными прав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овыми актами, регулирующими порядок планирования и финансирования деятельности государственных и муниципальных учреждений; рассчитывать основные показатели деятельности бюджетных и автономных учреждений; исчислять расходы на оплату труда работников государ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ственных и муниципальных учреждений; использовать утвержденные методики определения расходов на содержание бюджетных и автономных учреждений; с оставлять бюджетные сметы казенных учреждений; составлять планы финансово-хозяйственной деятельности бюджетных и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автономных учреждений.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552" w:type="dxa"/>
            <w:textDirection w:val="lrTb"/>
            <w:noWrap w:val="false"/>
          </w:tcPr>
          <w:p>
            <w:pPr>
              <w:pStyle w:val="60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ПК 1.5. Обеспечивать финансово-экономическое сопровождение деятельности по осуществлению закупок для государственных и муниципальных нужд</w:t>
            </w:r>
            <w:r/>
          </w:p>
        </w:tc>
        <w:tc>
          <w:tcPr>
            <w:tcW w:w="609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Практический опыт: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планирования и обеспечения закупок для государственных и муниципальных нужд.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Умения: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производить расчеты потребностей для осуществления закупок для государственных и муниципаль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ных нужд; обобщать и анализировать информацию о ценах на товары, работы, услуги в сфере закупок; описывать объект закупки и обосновывать начальную (максимальную) цену закупки; осуществлять мониторинг поставщиков (подрядчиков, исполнителей) в сфере закупок.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8"/>
        <w:rPr>
          <w:color w:val="auto"/>
        </w:rPr>
      </w:pPr>
      <w:r>
        <w:rPr>
          <w:i/>
        </w:rPr>
        <w:t xml:space="preserve">* </w:t>
      </w:r>
      <w:r>
        <w:rPr>
          <w:color w:val="auto"/>
        </w:rPr>
        <w:t xml:space="preserve">уровни освоения компетенций</w:t>
      </w:r>
      <w:r>
        <w:rPr>
          <w:color w:val="auto"/>
        </w:rPr>
        <w:t xml:space="preserve">:</w:t>
      </w:r>
      <w:r/>
    </w:p>
    <w:p>
      <w:pPr>
        <w:pStyle w:val="608"/>
        <w:jc w:val="both"/>
        <w:rPr>
          <w:color w:val="auto"/>
        </w:rPr>
      </w:pPr>
      <w:r>
        <w:rPr>
          <w:color w:val="auto"/>
        </w:rPr>
        <w:t xml:space="preserve">высокий - «отлично», хороший - «хорошо», средний - «удовлетворительно», низкий «неудовлетворительно»)</w:t>
      </w:r>
      <w:r/>
    </w:p>
    <w:p>
      <w:pPr>
        <w:pStyle w:val="608"/>
      </w:pPr>
      <w:r/>
      <w:r/>
    </w:p>
    <w:p>
      <w:pPr>
        <w:pStyle w:val="608"/>
        <w:rPr>
          <w:highlight w:val="yellow"/>
        </w:rPr>
      </w:pPr>
      <w:r>
        <w:rPr>
          <w:highlight w:val="yellow"/>
        </w:rPr>
      </w:r>
      <w:r/>
    </w:p>
    <w:p>
      <w:pPr>
        <w:pStyle w:val="608"/>
        <w:rPr>
          <w:highlight w:val="yellow"/>
        </w:rPr>
      </w:pPr>
      <w:r>
        <w:rPr>
          <w:highlight w:val="yellow"/>
        </w:rPr>
      </w:r>
      <w:r/>
    </w:p>
    <w:p>
      <w:pPr>
        <w:pStyle w:val="608"/>
      </w:pPr>
      <w:r>
        <w:t xml:space="preserve">Руководитель практики</w:t>
      </w:r>
      <w:r/>
    </w:p>
    <w:p>
      <w:pPr>
        <w:pStyle w:val="608"/>
        <w:rPr>
          <w:color w:val="auto"/>
        </w:rPr>
      </w:pPr>
      <w:r>
        <w:t xml:space="preserve"> от колледжа                                             </w:t>
      </w:r>
      <w:r>
        <w:rPr>
          <w:color w:val="FF0000"/>
        </w:rPr>
        <w:t xml:space="preserve"> </w:t>
      </w:r>
      <w:r>
        <w:rPr>
          <w:color w:val="auto"/>
        </w:rPr>
        <w:t xml:space="preserve">Родионов Е.В.</w:t>
      </w:r>
      <w:r/>
    </w:p>
    <w:p>
      <w:pPr>
        <w:pStyle w:val="608"/>
        <w:rPr>
          <w:highlight w:val="yellow"/>
        </w:rPr>
      </w:pPr>
      <w:r>
        <w:rPr>
          <w:highlight w:val="yellow"/>
        </w:rPr>
      </w:r>
      <w:r/>
    </w:p>
    <w:p>
      <w:pPr>
        <w:pStyle w:val="608"/>
      </w:pPr>
      <w:r/>
      <w:r/>
    </w:p>
    <w:p>
      <w:pPr>
        <w:pStyle w:val="608"/>
      </w:pPr>
      <w:r/>
      <w:r/>
    </w:p>
    <w:p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«_____» ______________20</w:t>
      </w:r>
      <w:r>
        <w:rPr>
          <w:rFonts w:ascii="Times New Roman" w:hAnsi="Times New Roman"/>
          <w:i/>
          <w:iCs/>
          <w:sz w:val="24"/>
          <w:szCs w:val="24"/>
        </w:rPr>
        <w:t xml:space="preserve">2</w:t>
      </w:r>
      <w:r>
        <w:rPr>
          <w:rFonts w:ascii="Times New Roman" w:hAnsi="Times New Roman"/>
          <w:i/>
          <w:iCs/>
          <w:sz w:val="24"/>
          <w:szCs w:val="24"/>
        </w:rPr>
        <w:t xml:space="preserve">_ год</w:t>
      </w:r>
      <w:r/>
    </w:p>
    <w:p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2240" w:h="15840" w:orient="portrait"/>
          <w:pgMar w:top="709" w:right="616" w:bottom="1134" w:left="993" w:header="720" w:footer="720" w:gutter="0"/>
          <w:cols w:num="1" w:sep="0" w:space="720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8"/>
        <w:jc w:val="center"/>
        <w:rPr>
          <w:b/>
        </w:rPr>
      </w:pPr>
      <w:r>
        <w:rPr>
          <w:b/>
        </w:rPr>
        <w:t xml:space="preserve">ХАРАКТЕРИСТИКА </w:t>
      </w:r>
      <w:r/>
    </w:p>
    <w:p>
      <w:pPr>
        <w:pStyle w:val="6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обучающегося  по освоению общих компетенций в период прохождения</w:t>
      </w:r>
      <w:r>
        <w:rPr>
          <w:sz w:val="28"/>
          <w:szCs w:val="28"/>
        </w:rPr>
        <w:t xml:space="preserve">   практики</w:t>
      </w:r>
      <w:r/>
    </w:p>
    <w:p>
      <w:pPr>
        <w:pStyle w:val="608"/>
        <w:ind w:firstLine="567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/>
    </w:p>
    <w:p>
      <w:pPr>
        <w:pStyle w:val="608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_________________________________________,</w:t>
      </w:r>
      <w:r/>
    </w:p>
    <w:p>
      <w:pPr>
        <w:pStyle w:val="608"/>
        <w:jc w:val="center"/>
      </w:pPr>
      <w:r>
        <w:rPr>
          <w:i/>
          <w:iCs/>
        </w:rPr>
        <w:t xml:space="preserve">(ФИО студента)</w:t>
      </w:r>
      <w:r/>
    </w:p>
    <w:p>
      <w:pPr>
        <w:pStyle w:val="608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08"/>
        <w:jc w:val="both"/>
        <w:spacing w:line="276" w:lineRule="auto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руппа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 xml:space="preserve">Ф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курс </w:t>
      </w:r>
      <w:r>
        <w:rPr>
          <w:sz w:val="26"/>
          <w:szCs w:val="26"/>
          <w:u w:val="single"/>
        </w:rPr>
        <w:t xml:space="preserve">3 </w:t>
      </w:r>
      <w:r>
        <w:rPr>
          <w:sz w:val="26"/>
          <w:szCs w:val="26"/>
        </w:rPr>
        <w:t xml:space="preserve">специальность </w:t>
      </w:r>
      <w:r>
        <w:rPr>
          <w:sz w:val="26"/>
          <w:szCs w:val="26"/>
          <w:u w:val="single"/>
        </w:rPr>
        <w:t xml:space="preserve">38.02.0</w:t>
      </w:r>
      <w:r>
        <w:rPr>
          <w:sz w:val="26"/>
          <w:szCs w:val="26"/>
          <w:u w:val="single"/>
        </w:rPr>
        <w:t xml:space="preserve">6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Финансы</w:t>
      </w:r>
      <w:r/>
    </w:p>
    <w:p>
      <w:pPr>
        <w:pStyle w:val="608"/>
        <w:jc w:val="both"/>
        <w:spacing w:line="276" w:lineRule="auto"/>
        <w:rPr>
          <w:u w:val="single"/>
        </w:rPr>
      </w:pPr>
      <w:r>
        <w:rPr>
          <w:sz w:val="26"/>
          <w:szCs w:val="26"/>
        </w:rPr>
        <w:t xml:space="preserve">в период прохождения учебной практики </w:t>
      </w:r>
      <w:r>
        <w:rPr>
          <w:u w:val="single"/>
        </w:rPr>
        <w:t xml:space="preserve">«Ознакомление </w:t>
      </w:r>
      <w:r>
        <w:rPr>
          <w:u w:val="single"/>
        </w:rPr>
        <w:t xml:space="preserve">с финансово-экономическим планированием в секторе государственного и муниципального управления и организация исполнения бюджетов бюджетной системы Российской Федерации</w:t>
      </w:r>
      <w:r>
        <w:rPr>
          <w:u w:val="single"/>
        </w:rPr>
        <w:t xml:space="preserve">»</w:t>
      </w:r>
      <w:r/>
    </w:p>
    <w:p>
      <w:pPr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 профессиональному модулю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Финансово-экономическое планирование в секторе государственного </w:t>
      </w:r>
      <w:r>
        <w:rPr>
          <w:rFonts w:ascii="Times New Roman" w:hAnsi="Times New Roman"/>
          <w:sz w:val="24"/>
          <w:szCs w:val="24"/>
          <w:u w:val="single"/>
        </w:rPr>
        <w:t xml:space="preserve">и муниципального управления и организация исполнения бюджетов бюджетной системы Российской Федерации</w:t>
      </w:r>
      <w:r>
        <w:rPr>
          <w:rFonts w:ascii="Times New Roman" w:hAnsi="Times New Roman"/>
          <w:sz w:val="24"/>
          <w:szCs w:val="24"/>
          <w:u w:val="single"/>
        </w:rPr>
        <w:t xml:space="preserve">»</w:t>
      </w:r>
      <w:r/>
    </w:p>
    <w:p>
      <w:pPr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объеме </w:t>
      </w:r>
      <w:r>
        <w:rPr>
          <w:rFonts w:ascii="Times New Roman" w:hAnsi="Times New Roman"/>
          <w:sz w:val="26"/>
          <w:szCs w:val="26"/>
          <w:u w:val="single"/>
        </w:rPr>
        <w:t xml:space="preserve">36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час</w:t>
      </w:r>
      <w:r>
        <w:rPr>
          <w:rFonts w:ascii="Times New Roman" w:hAnsi="Times New Roman"/>
          <w:sz w:val="26"/>
          <w:szCs w:val="26"/>
        </w:rPr>
        <w:t xml:space="preserve">ов</w:t>
      </w:r>
      <w:r>
        <w:rPr>
          <w:rFonts w:ascii="Times New Roman" w:hAnsi="Times New Roman"/>
          <w:sz w:val="26"/>
          <w:szCs w:val="26"/>
        </w:rPr>
        <w:t xml:space="preserve">. </w:t>
      </w:r>
      <w:r/>
    </w:p>
    <w:p>
      <w:pPr>
        <w:pStyle w:val="608"/>
        <w:spacing w:line="276" w:lineRule="auto"/>
        <w:rPr>
          <w:sz w:val="16"/>
          <w:szCs w:val="16"/>
        </w:rPr>
      </w:pPr>
      <w:r>
        <w:rPr>
          <w:sz w:val="26"/>
          <w:szCs w:val="26"/>
        </w:rPr>
        <w:t xml:space="preserve">Место проведения практики: </w:t>
      </w:r>
      <w:r>
        <w:rPr>
          <w:sz w:val="26"/>
          <w:szCs w:val="26"/>
          <w:u w:val="single"/>
        </w:rPr>
        <w:t xml:space="preserve">АН ПОО «Колледж информационных технологий и финансов»</w:t>
      </w:r>
      <w:r/>
    </w:p>
    <w:p>
      <w:pPr>
        <w:pStyle w:val="608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Сроки проведения практики </w:t>
      </w:r>
      <w:r>
        <w:rPr>
          <w:color w:val="FF0000"/>
          <w:sz w:val="26"/>
          <w:szCs w:val="26"/>
        </w:rPr>
        <w:t xml:space="preserve">с </w:t>
      </w:r>
      <w:r>
        <w:rPr>
          <w:color w:val="FF0000"/>
        </w:rPr>
        <w:t xml:space="preserve">6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>
        <w:rPr>
          <w:color w:val="FF0000"/>
        </w:rPr>
        <w:t xml:space="preserve"> по </w:t>
      </w:r>
      <w:r>
        <w:rPr>
          <w:color w:val="FF0000"/>
          <w:u w:val="single"/>
        </w:rPr>
        <w:t xml:space="preserve">1</w:t>
      </w:r>
      <w:r>
        <w:rPr>
          <w:color w:val="FF0000"/>
          <w:u w:val="single"/>
        </w:rPr>
        <w:t xml:space="preserve">0</w:t>
      </w:r>
      <w:r>
        <w:rPr>
          <w:color w:val="FF0000"/>
          <w:u w:val="single"/>
        </w:rPr>
        <w:t xml:space="preserve"> декабря </w:t>
      </w:r>
      <w:r>
        <w:rPr>
          <w:color w:val="FF0000"/>
          <w:u w:val="single"/>
        </w:rPr>
        <w:t xml:space="preserve">20</w:t>
      </w:r>
      <w:r>
        <w:rPr>
          <w:color w:val="FF0000"/>
          <w:u w:val="single"/>
        </w:rPr>
        <w:t xml:space="preserve">21</w:t>
      </w:r>
      <w:r>
        <w:rPr>
          <w:color w:val="FF0000"/>
          <w:u w:val="single"/>
        </w:rPr>
        <w:t xml:space="preserve"> г</w:t>
      </w:r>
      <w:r>
        <w:rPr>
          <w:color w:val="FF0000"/>
          <w:u w:val="single"/>
        </w:rPr>
        <w:t xml:space="preserve">.</w:t>
      </w:r>
      <w:r/>
    </w:p>
    <w:p>
      <w:pPr>
        <w:pStyle w:val="608"/>
        <w:ind w:firstLine="709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/>
    </w:p>
    <w:p>
      <w:pPr>
        <w:pStyle w:val="608"/>
        <w:ind w:firstLine="709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При выполнении работ в соответствии с программой практики обучающимся освоены следующие общие компетенции: </w:t>
      </w:r>
      <w:r/>
    </w:p>
    <w:tbl>
      <w:tblPr>
        <w:tblW w:w="935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6237"/>
        <w:gridCol w:w="1418"/>
      </w:tblGrid>
      <w:tr>
        <w:trPr>
          <w:trHeight w:val="610"/>
        </w:trPr>
        <w:tc>
          <w:tcPr>
            <w:tcW w:w="1701" w:type="dxa"/>
            <w:textDirection w:val="lrTb"/>
            <w:noWrap w:val="false"/>
          </w:tcPr>
          <w:p>
            <w:pPr>
              <w:pStyle w:val="608"/>
              <w:jc w:val="center"/>
            </w:pPr>
            <w:r>
              <w:t xml:space="preserve">Код компетенции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jc w:val="center"/>
            </w:pPr>
            <w:r>
              <w:t xml:space="preserve">Формулировка компетенции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  <w:jc w:val="center"/>
            </w:pPr>
            <w:r>
              <w:t xml:space="preserve">Освоена/ не освоена</w:t>
            </w:r>
            <w:r/>
          </w:p>
        </w:tc>
      </w:tr>
      <w:tr>
        <w:trPr>
          <w:trHeight w:val="216"/>
        </w:trPr>
        <w:tc>
          <w:tcPr>
            <w:tcW w:w="1701" w:type="dxa"/>
            <w:textDirection w:val="lrTb"/>
            <w:noWrap w:val="false"/>
          </w:tcPr>
          <w:p>
            <w:pPr>
              <w:pStyle w:val="60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ПК 1.1. 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Рассчитывать показатели проектов бюджетов бюджетной системы Российской Федерации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</w:pPr>
            <w:r/>
            <w:r/>
          </w:p>
        </w:tc>
      </w:tr>
      <w:tr>
        <w:trPr/>
        <w:tc>
          <w:tcPr>
            <w:tcW w:w="1701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ПК 1.2. 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Обеспечивать исполнение бюджетов бюджетной системы Российской Федерации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</w:pPr>
            <w:r/>
            <w:r/>
          </w:p>
        </w:tc>
      </w:tr>
      <w:tr>
        <w:trPr/>
        <w:tc>
          <w:tcPr>
            <w:tcW w:w="1701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ПК 1.3. 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Осуществлять контроль за совершением операций со средствами бюджетов бюджетной системы Российской Федерации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</w:pPr>
            <w:r/>
            <w:r/>
          </w:p>
        </w:tc>
      </w:tr>
      <w:tr>
        <w:trPr/>
        <w:tc>
          <w:tcPr>
            <w:tcW w:w="1701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ПК 1.4. 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Составлять плановые документы государственных и муниципальных учреждений и обоснования к ним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</w:pPr>
            <w:r/>
            <w:r/>
          </w:p>
        </w:tc>
      </w:tr>
      <w:tr>
        <w:trPr/>
        <w:tc>
          <w:tcPr>
            <w:tcW w:w="1701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ПК 1.5. </w:t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608"/>
              <w:rPr>
                <w:color w:val="auto"/>
              </w:rPr>
            </w:pPr>
            <w:r>
              <w:rPr>
                <w:color w:val="auto"/>
              </w:rPr>
              <w:t xml:space="preserve">Обеспечивать финансово-экономическое сопровождение деятельности по осуществлению закупок для государственных и муниципальных нужд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608"/>
            </w:pPr>
            <w:r/>
            <w:r/>
          </w:p>
        </w:tc>
      </w:tr>
    </w:tbl>
    <w:p>
      <w:pPr>
        <w:pStyle w:val="608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608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608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608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608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/>
    </w:p>
    <w:p>
      <w:pPr>
        <w:pStyle w:val="608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08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</w:t>
      </w:r>
      <w:r/>
    </w:p>
    <w:p>
      <w:pPr>
        <w:pStyle w:val="608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от колледжа                                            </w:t>
      </w:r>
      <w:r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Родионов Е.В.</w:t>
      </w:r>
      <w:r/>
    </w:p>
    <w:p>
      <w:pPr>
        <w:ind w:left="147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/>
    </w:p>
    <w:p>
      <w:pPr>
        <w:ind w:left="147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/>
    </w:p>
    <w:p>
      <w:pPr>
        <w:pStyle w:val="608"/>
        <w:rPr>
          <w:b/>
        </w:rPr>
      </w:pPr>
      <w:r>
        <w:rPr>
          <w:i/>
          <w:iCs/>
        </w:rPr>
        <w:t xml:space="preserve">«_____» ______________202</w:t>
      </w:r>
      <w:r>
        <w:rPr>
          <w:i/>
          <w:iCs/>
        </w:rPr>
        <w:t xml:space="preserve">_ год</w:t>
      </w:r>
      <w:r>
        <w:rPr>
          <w:b/>
        </w:rPr>
        <w:t xml:space="preserve"> </w:t>
      </w:r>
      <w:r/>
    </w:p>
    <w:p>
      <w:pPr>
        <w:pStyle w:val="608"/>
        <w:jc w:val="center"/>
        <w:rPr>
          <w:b/>
        </w:rPr>
      </w:pPr>
      <w:r>
        <w:rPr>
          <w:b/>
        </w:rPr>
      </w:r>
      <w:r/>
    </w:p>
    <w:p>
      <w:pPr>
        <w:ind w:left="147"/>
        <w:jc w:val="center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ЗАДАНИЕ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УЧЕБНУЮ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ПРАКТИКУ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/>
    </w:p>
    <w:p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Содержание</w:t>
      </w:r>
      <w:r/>
    </w:p>
    <w:p>
      <w:pPr>
        <w:ind w:left="150" w:firstLine="559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работ,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которые должен выполнить обучающийся в соответствии с программой практики:</w:t>
      </w:r>
      <w:r/>
    </w:p>
    <w:p>
      <w:pPr>
        <w:ind w:left="150" w:firstLine="559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(заполняется в соответствии с п. «Перечень типовых заданий на практику (общих и индивидуальных)» Программы учебной практики)</w:t>
      </w:r>
      <w:r/>
    </w:p>
    <w:tbl>
      <w:tblPr>
        <w:tblW w:w="10065" w:type="dxa"/>
        <w:tblLook w:val="00A0" w:firstRow="1" w:lastRow="0" w:firstColumn="1" w:lastColumn="0" w:noHBand="0" w:noVBand="0"/>
      </w:tblPr>
      <w:tblGrid>
        <w:gridCol w:w="10065"/>
      </w:tblGrid>
      <w:tr>
        <w:trPr>
          <w:trHeight w:val="485"/>
        </w:trPr>
        <w:tc>
          <w:tcPr>
            <w:tcBorders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1.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Используя информацию, отраженную на официальном сайте администрации г. Воронежа изучить: компетенции администрации города; структуру администрации, изобразить ее в виде схемы; структуру Департамента финансов, его задачи и функции.</w:t>
            </w:r>
            <w:r/>
          </w:p>
        </w:tc>
      </w:tr>
      <w:tr>
        <w:trPr>
          <w:trHeight w:val="485"/>
        </w:trPr>
        <w:tc>
          <w:tcPr>
            <w:tcBorders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Изучить Решение Воронежской городской Думы «О бюджетном процессе в городе Воронеже» и ответить на следующие вопросы: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Понятие бюджета города; бюджетного процесса; бюджетной политики.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Правовые акты, регулирующие бюджетный процесс в городе.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Формирование и виды доходов бюджета города.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Формирование расходов бюджета города.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Муниципальный долг г. Воронежа.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Участники бюджетного процесса в г. Воронеже. Описать бюджетный процесс г. Воронежа</w:t>
            </w:r>
            <w:r/>
          </w:p>
        </w:tc>
      </w:tr>
      <w:tr>
        <w:trPr>
          <w:trHeight w:val="485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3.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Проанализировать исполнение бюджета РФ по доходам и расходам за три предыдущих года и составить аналитические таблицы, характеризующие состав и структуру доходов и расходов бюджета. Написать заключение по результатам анализа.</w:t>
            </w:r>
            <w:r/>
          </w:p>
        </w:tc>
      </w:tr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10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 исходным данным образовательного учреждения: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Составить расчет основных показателей, характеризующих качество и объем государственных (муниципальных) услуг, оказываемых образовательным учреждением.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Составить тарификационный список педагогических работников по образовательному учреждению.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Составить расчет плановых показателей по поступлениям и выплатам плана финансово-хозяйственной деятельности образовательного учреждения.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Составить план финансово-хозяйственной деятельности образовательного учреждения.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Задание 5. </w:t>
      </w:r>
      <w:r>
        <w:rPr>
          <w:rFonts w:ascii="Times New Roman" w:hAnsi="Times New Roman"/>
          <w:sz w:val="24"/>
          <w:szCs w:val="24"/>
          <w:lang w:eastAsia="en-US"/>
        </w:rPr>
        <w:t xml:space="preserve">Проанализировать</w:t>
      </w:r>
      <w:r>
        <w:rPr>
          <w:rFonts w:ascii="Times New Roman" w:hAnsi="Times New Roman"/>
          <w:sz w:val="24"/>
          <w:szCs w:val="24"/>
          <w:lang w:eastAsia="en-US"/>
        </w:rPr>
        <w:t xml:space="preserve"> проблем</w:t>
      </w:r>
      <w:r>
        <w:rPr>
          <w:rFonts w:ascii="Times New Roman" w:hAnsi="Times New Roman"/>
          <w:sz w:val="24"/>
          <w:szCs w:val="24"/>
          <w:lang w:eastAsia="en-US"/>
        </w:rPr>
        <w:t xml:space="preserve">ы возникающие</w:t>
      </w:r>
      <w:r>
        <w:rPr>
          <w:rFonts w:ascii="Times New Roman" w:hAnsi="Times New Roman"/>
          <w:sz w:val="24"/>
          <w:szCs w:val="24"/>
          <w:lang w:eastAsia="en-US"/>
        </w:rPr>
        <w:t xml:space="preserve"> при реализации контрактных отношений.</w:t>
      </w:r>
      <w:r>
        <w:rPr>
          <w:rFonts w:ascii="Times New Roman" w:hAnsi="Times New Roman"/>
          <w:sz w:val="24"/>
          <w:szCs w:val="24"/>
          <w:lang w:eastAsia="en-US"/>
        </w:rPr>
        <w:t xml:space="preserve"> Причины возникновения и пути решения проблем в контрактной системе.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результаты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Результатом выполнения работ Учебной практики является приобретение следующих умений, первоначального практического опыта, формирующихся общих и профессиональных компетенций: 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(перечисляются умения, практический опыт, общие и профессиональные компетенции в соответствии с п. «Результаты прохождения учебной практики, соотнесенные с результатами освоения образовательной программы» Программы  учебной практики)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использовать бюджетное законодательство, подзаконные нормативные правовые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акты в своей профессиональной деятельности; проводить мониторинг исполнения бюджетов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бюджетной системы Российской Федерации, бюджетных смет и планов бюджетных 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автономных учреждений</w:t>
      </w:r>
      <w:r>
        <w:rPr>
          <w:rFonts w:ascii="Times New Roman" w:hAnsi="Times New Roman"/>
          <w:sz w:val="24"/>
          <w:szCs w:val="24"/>
          <w:u w:val="single"/>
        </w:rPr>
        <w:t xml:space="preserve">; </w:t>
      </w:r>
      <w:r>
        <w:rPr>
          <w:rFonts w:ascii="Times New Roman" w:hAnsi="Times New Roman"/>
          <w:sz w:val="24"/>
          <w:szCs w:val="24"/>
          <w:u w:val="single"/>
        </w:rPr>
        <w:t xml:space="preserve">проводить проверку платежных документов получателя бюджетных средств,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представленных</w:t>
      </w:r>
      <w:r>
        <w:rPr>
          <w:rFonts w:ascii="Times New Roman" w:hAnsi="Times New Roman"/>
          <w:sz w:val="24"/>
          <w:szCs w:val="24"/>
          <w:u w:val="single"/>
        </w:rPr>
        <w:t xml:space="preserve"> для проведения кассовых выплат; </w:t>
      </w:r>
      <w:r>
        <w:rPr>
          <w:rFonts w:ascii="Times New Roman" w:hAnsi="Times New Roman"/>
          <w:sz w:val="24"/>
          <w:szCs w:val="24"/>
          <w:u w:val="single"/>
        </w:rPr>
        <w:t xml:space="preserve">составлять планы финансово-хозяйственной деятельности бюджетных и</w:t>
      </w:r>
      <w:r>
        <w:rPr>
          <w:rFonts w:ascii="Times New Roman" w:hAnsi="Times New Roman"/>
          <w:sz w:val="24"/>
          <w:szCs w:val="24"/>
          <w:u w:val="single"/>
        </w:rPr>
        <w:t xml:space="preserve"> автономных учреждений</w:t>
      </w:r>
      <w:r>
        <w:rPr>
          <w:rFonts w:ascii="Times New Roman" w:hAnsi="Times New Roman"/>
          <w:sz w:val="24"/>
          <w:szCs w:val="24"/>
          <w:u w:val="single"/>
        </w:rPr>
        <w:t xml:space="preserve">; </w:t>
      </w:r>
      <w:r>
        <w:rPr>
          <w:rFonts w:ascii="Times New Roman" w:hAnsi="Times New Roman"/>
          <w:sz w:val="24"/>
          <w:szCs w:val="24"/>
          <w:u w:val="single"/>
        </w:rPr>
        <w:t xml:space="preserve">производить расчеты потребностей для осуществления закупок для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государственных и муниципальных нужд</w:t>
      </w:r>
      <w:r/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  <w:r/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практики</w:t>
      </w:r>
      <w:r/>
    </w:p>
    <w:p>
      <w:pPr>
        <w:pStyle w:val="608"/>
      </w:pPr>
      <w:r>
        <w:t xml:space="preserve">от колледжа</w:t>
      </w:r>
      <w:r>
        <w:t xml:space="preserve">                                       </w:t>
      </w:r>
      <w:r>
        <w:rPr>
          <w:color w:val="FF0000"/>
        </w:rPr>
        <w:t xml:space="preserve"> </w:t>
      </w:r>
      <w:r>
        <w:rPr>
          <w:color w:val="auto"/>
        </w:rPr>
        <w:t xml:space="preserve">Родионов Е.В.</w:t>
      </w:r>
      <w:bookmarkStart w:id="0" w:name="_GoBack"/>
      <w:r/>
      <w:bookmarkEnd w:id="0"/>
      <w:r/>
      <w:r/>
    </w:p>
    <w:p>
      <w:pPr>
        <w:pStyle w:val="608"/>
      </w:pPr>
      <w:r>
        <w:t xml:space="preserve">                                                                            </w:t>
      </w:r>
      <w:r/>
    </w:p>
    <w:p>
      <w:pPr>
        <w:pStyle w:val="608"/>
      </w:pPr>
      <w:r>
        <w:t xml:space="preserve"> Студент – практикант                       </w:t>
      </w:r>
      <w:r>
        <w:t xml:space="preserve">________________</w:t>
      </w:r>
      <w:r>
        <w:t xml:space="preserve">    </w:t>
      </w:r>
      <w:r/>
    </w:p>
    <w:p>
      <w:pPr>
        <w:pStyle w:val="608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righ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righ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righ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sz w:val="22"/>
        <w:szCs w:val="22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4"/>
    <w:next w:val="604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4"/>
    <w:next w:val="604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4"/>
    <w:next w:val="604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4"/>
    <w:next w:val="604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4"/>
    <w:next w:val="604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4"/>
    <w:next w:val="604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4"/>
    <w:next w:val="604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4"/>
    <w:next w:val="604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4"/>
    <w:next w:val="604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4"/>
    <w:next w:val="604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5"/>
    <w:link w:val="32"/>
    <w:uiPriority w:val="10"/>
    <w:rPr>
      <w:sz w:val="48"/>
      <w:szCs w:val="48"/>
    </w:rPr>
  </w:style>
  <w:style w:type="paragraph" w:styleId="34">
    <w:name w:val="Subtitle"/>
    <w:basedOn w:val="604"/>
    <w:next w:val="604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5"/>
    <w:link w:val="34"/>
    <w:uiPriority w:val="11"/>
    <w:rPr>
      <w:sz w:val="24"/>
      <w:szCs w:val="24"/>
    </w:rPr>
  </w:style>
  <w:style w:type="paragraph" w:styleId="36">
    <w:name w:val="Quote"/>
    <w:basedOn w:val="604"/>
    <w:next w:val="604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4"/>
    <w:next w:val="604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4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5"/>
    <w:link w:val="40"/>
    <w:uiPriority w:val="99"/>
  </w:style>
  <w:style w:type="paragraph" w:styleId="42">
    <w:name w:val="Footer"/>
    <w:basedOn w:val="60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5"/>
    <w:link w:val="42"/>
    <w:uiPriority w:val="99"/>
  </w:style>
  <w:style w:type="paragraph" w:styleId="44">
    <w:name w:val="Caption"/>
    <w:basedOn w:val="604"/>
    <w:next w:val="6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4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5"/>
    <w:uiPriority w:val="99"/>
    <w:unhideWhenUsed/>
    <w:rPr>
      <w:vertAlign w:val="superscript"/>
    </w:rPr>
  </w:style>
  <w:style w:type="paragraph" w:styleId="176">
    <w:name w:val="endnote text"/>
    <w:basedOn w:val="604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5"/>
    <w:uiPriority w:val="99"/>
    <w:semiHidden/>
    <w:unhideWhenUsed/>
    <w:rPr>
      <w:vertAlign w:val="superscript"/>
    </w:rPr>
  </w:style>
  <w:style w:type="paragraph" w:styleId="179">
    <w:name w:val="toc 1"/>
    <w:basedOn w:val="604"/>
    <w:next w:val="60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4"/>
    <w:next w:val="60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4"/>
    <w:next w:val="60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4"/>
    <w:next w:val="60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4"/>
    <w:next w:val="60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4"/>
    <w:next w:val="60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4"/>
    <w:next w:val="60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4"/>
    <w:next w:val="60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4"/>
    <w:next w:val="60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4"/>
    <w:next w:val="604"/>
    <w:uiPriority w:val="99"/>
    <w:unhideWhenUsed/>
    <w:pPr>
      <w:spacing w:after="0" w:afterAutospacing="0"/>
    </w:pPr>
  </w:style>
  <w:style w:type="paragraph" w:styleId="604" w:default="1">
    <w:name w:val="Normal"/>
    <w:qFormat/>
    <w:pPr>
      <w:spacing w:after="200" w:line="276" w:lineRule="auto"/>
    </w:pPr>
    <w:rPr>
      <w:rFonts w:eastAsia="Times New Roman"/>
    </w:rPr>
  </w:style>
  <w:style w:type="character" w:styleId="605" w:default="1">
    <w:name w:val="Default Paragraph Font"/>
    <w:uiPriority w:val="99"/>
    <w:semiHidden/>
  </w:style>
  <w:style w:type="table" w:styleId="60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7" w:default="1">
    <w:name w:val="No List"/>
    <w:uiPriority w:val="99"/>
    <w:semiHidden/>
    <w:unhideWhenUsed/>
  </w:style>
  <w:style w:type="paragraph" w:styleId="608" w:customStyle="1">
    <w:name w:val="Default"/>
    <w:uiPriority w:val="99"/>
    <w:rPr>
      <w:rFonts w:ascii="Times New Roman" w:hAnsi="Times New Roman" w:eastAsia="Times New Roman"/>
      <w:color w:val="000000"/>
      <w:sz w:val="24"/>
      <w:szCs w:val="24"/>
    </w:rPr>
  </w:style>
  <w:style w:type="table" w:styleId="609">
    <w:name w:val="Table Grid"/>
    <w:basedOn w:val="606"/>
    <w:uiPriority w:val="99"/>
    <w:rPr>
      <w:rFonts w:eastAsia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10">
    <w:name w:val="List Paragraph"/>
    <w:basedOn w:val="604"/>
    <w:uiPriority w:val="99"/>
    <w:qFormat/>
    <w:pPr>
      <w:contextualSpacing/>
      <w:ind w:left="720"/>
    </w:pPr>
  </w:style>
  <w:style w:type="paragraph" w:styleId="611">
    <w:name w:val="Balloon Text"/>
    <w:basedOn w:val="604"/>
    <w:link w:val="612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2" w:customStyle="1">
    <w:name w:val="Balloon Text Char"/>
    <w:basedOn w:val="605"/>
    <w:link w:val="611"/>
    <w:uiPriority w:val="99"/>
    <w:semiHidden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Normal_Wordconv.dotm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Валагура Елена Юрьевна</dc:creator>
  <cp:keywords/>
  <dc:description/>
  <cp:lastModifiedBy>Диана Абугалеева</cp:lastModifiedBy>
  <cp:revision>19</cp:revision>
  <dcterms:created xsi:type="dcterms:W3CDTF">2019-01-14T07:41:00Z</dcterms:created>
  <dcterms:modified xsi:type="dcterms:W3CDTF">2023-04-25T13:53:20Z</dcterms:modified>
</cp:coreProperties>
</file>