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image/x-emf" Extension="emf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ind/>
        <w:jc w:val="center"/>
        <w:rPr>
          <w:rFonts w:ascii="Times New Roman" w:hAnsi="Times New Roman"/>
          <w:b w:val="1"/>
          <w:sz w:val="32"/>
        </w:rPr>
      </w:pPr>
      <w:r>
        <w:rPr>
          <w:rFonts w:ascii="Times New Roman" w:hAnsi="Times New Roman"/>
          <w:b w:val="1"/>
          <w:sz w:val="32"/>
        </w:rPr>
        <w:t>Лабораторная работа 2</w:t>
      </w:r>
    </w:p>
    <w:p w14:paraId="02000000">
      <w:pPr>
        <w:pStyle w:val="Style_1"/>
        <w:ind/>
        <w:jc w:val="center"/>
        <w:rPr>
          <w:rFonts w:ascii="Times New Roman" w:hAnsi="Times New Roman"/>
          <w:b w:val="1"/>
          <w:sz w:val="32"/>
        </w:rPr>
      </w:pPr>
      <w:r>
        <w:rPr>
          <w:rFonts w:ascii="Times New Roman" w:hAnsi="Times New Roman"/>
          <w:b w:val="1"/>
          <w:sz w:val="32"/>
        </w:rPr>
        <w:t>«Изучение влияния на освещенность рабочих мест высоты подвески светильников и отклонения напряжения от номинального»</w:t>
      </w:r>
    </w:p>
    <w:p w14:paraId="03000000">
      <w:pPr>
        <w:pStyle w:val="Style_2"/>
        <w:spacing w:line="360" w:lineRule="auto"/>
        <w:ind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Тема </w:t>
      </w:r>
      <w:r>
        <w:rPr>
          <w:rFonts w:ascii="Times New Roman" w:hAnsi="Times New Roman"/>
          <w:b w:val="1"/>
          <w:sz w:val="28"/>
        </w:rPr>
        <w:t>«</w:t>
      </w:r>
      <w:r>
        <w:rPr>
          <w:rFonts w:ascii="Times New Roman" w:hAnsi="Times New Roman"/>
          <w:b w:val="1"/>
          <w:sz w:val="28"/>
        </w:rPr>
        <w:t>Светотехнические расчеты</w:t>
      </w:r>
      <w:r>
        <w:rPr>
          <w:rFonts w:ascii="Times New Roman" w:hAnsi="Times New Roman"/>
          <w:b w:val="1"/>
          <w:sz w:val="28"/>
        </w:rPr>
        <w:t>»</w:t>
      </w:r>
    </w:p>
    <w:p w14:paraId="04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Цель работы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исследование зависимости освещенности от высоты подвески светильников и от напряжения в осветительной сети.</w:t>
      </w:r>
    </w:p>
    <w:p w14:paraId="05000000">
      <w:pPr>
        <w:widowControl w:val="0"/>
        <w:spacing w:after="0" w:line="360" w:lineRule="auto"/>
        <w:ind w:firstLine="0" w:left="360"/>
        <w:jc w:val="center"/>
        <w:outlineLvl w:val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Порядок запуска виртуальной лабораторной работы (ВЛР)</w:t>
      </w:r>
    </w:p>
    <w:p w14:paraId="06000000">
      <w:pPr>
        <w:widowControl w:val="0"/>
        <w:tabs>
          <w:tab w:leader="none" w:pos="1418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1.1. Получите доступ к виртуальному рабочему столу. Инструкция по получению доступа прилагается к заданию в курсе.</w:t>
      </w:r>
    </w:p>
    <w:p w14:paraId="07000000">
      <w:pPr>
        <w:widowControl w:val="0"/>
        <w:tabs>
          <w:tab w:leader="none" w:pos="1418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1.2. </w:t>
      </w:r>
      <w:r>
        <w:rPr>
          <w:rFonts w:ascii="Times New Roman" w:hAnsi="Times New Roman"/>
          <w:sz w:val="28"/>
        </w:rPr>
        <w:t xml:space="preserve">Откройте на виртуальном рабочем столе папку </w:t>
      </w:r>
      <w:r>
        <w:rPr>
          <w:rFonts w:ascii="Times New Roman" w:hAnsi="Times New Roman"/>
          <w:b w:val="1"/>
          <w:sz w:val="28"/>
        </w:rPr>
        <w:t>Лабораторные работы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выберите папку </w:t>
      </w:r>
      <w:r>
        <w:rPr>
          <w:rFonts w:ascii="Times New Roman" w:hAnsi="Times New Roman"/>
          <w:b w:val="1"/>
          <w:sz w:val="28"/>
        </w:rPr>
        <w:t>Professional group</w:t>
      </w:r>
      <w:r>
        <w:rPr>
          <w:rFonts w:ascii="Times New Roman" w:hAnsi="Times New Roman"/>
          <w:sz w:val="28"/>
        </w:rPr>
        <w:t xml:space="preserve">, в ней запустите двойным щелчком программу </w:t>
      </w:r>
      <w:r>
        <w:rPr>
          <w:rFonts w:ascii="Times New Roman" w:hAnsi="Times New Roman"/>
          <w:b w:val="1"/>
          <w:sz w:val="28"/>
        </w:rPr>
        <w:t>Выполнить</w:t>
      </w:r>
      <w:r>
        <w:rPr>
          <w:rFonts w:ascii="Times New Roman" w:hAnsi="Times New Roman"/>
          <w:sz w:val="28"/>
        </w:rPr>
        <w:t xml:space="preserve">. </w:t>
      </w:r>
    </w:p>
    <w:p w14:paraId="08000000">
      <w:pPr>
        <w:widowControl w:val="0"/>
        <w:tabs>
          <w:tab w:leader="none" w:pos="1418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1.3. Одинарным щелчком выберите группу «</w:t>
      </w:r>
      <w:r>
        <w:rPr>
          <w:rFonts w:ascii="Times New Roman" w:hAnsi="Times New Roman"/>
          <w:color w:val="000000"/>
          <w:sz w:val="28"/>
          <w:highlight w:val="white"/>
        </w:rPr>
        <w:t>Промышленная экология</w:t>
      </w:r>
      <w:r>
        <w:rPr>
          <w:rFonts w:ascii="Times New Roman" w:hAnsi="Times New Roman"/>
          <w:sz w:val="28"/>
        </w:rPr>
        <w:t>».</w:t>
      </w:r>
    </w:p>
    <w:p w14:paraId="09000000">
      <w:pPr>
        <w:widowControl w:val="0"/>
        <w:tabs>
          <w:tab w:leader="none" w:pos="1418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1.4. Из развернувшегося перечня выберите одинарным щелчком лабораторную работу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color w:val="000000"/>
          <w:sz w:val="28"/>
          <w:highlight w:val="white"/>
        </w:rPr>
        <w:t>Изучение влияния на освещенность рабочих мест высоты подвески светильников и отклонения напряжения от номинального</w:t>
      </w:r>
      <w:r>
        <w:rPr>
          <w:rFonts w:ascii="Times New Roman" w:hAnsi="Times New Roman"/>
          <w:sz w:val="28"/>
        </w:rPr>
        <w:t>».</w:t>
      </w:r>
    </w:p>
    <w:p w14:paraId="0A000000">
      <w:pPr>
        <w:widowControl w:val="0"/>
        <w:tabs>
          <w:tab w:leader="none" w:pos="1418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1.5. По одинарному щелчку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 xml:space="preserve">ам доступны файлы ВЛР: Методические материалы и Виртуальная лаборатория (рис. 1). </w:t>
      </w:r>
    </w:p>
    <w:p w14:paraId="0B000000">
      <w:pPr>
        <w:widowControl w:val="0"/>
        <w:tabs>
          <w:tab w:leader="none" w:pos="1418" w:val="left"/>
        </w:tabs>
        <w:spacing w:after="0" w:line="36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drawing>
          <wp:inline>
            <wp:extent cx="5476875" cy="1409700"/>
            <wp:effectExtent b="0" l="0" r="0" t="0"/>
            <wp:docPr hidden="false" id="1" name="Picture 1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1"/>
                    <a:srcRect b="0" l="0" r="0" t="0"/>
                    <a:stretch/>
                  </pic:blipFill>
                  <pic:spPr>
                    <a:xfrm flipH="false" flipV="false" rot="0">
                      <a:ext cx="5476875" cy="140970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C000000">
      <w:pPr>
        <w:widowControl w:val="0"/>
        <w:tabs>
          <w:tab w:leader="none" w:pos="1418" w:val="left"/>
        </w:tabs>
        <w:spacing w:after="0" w:line="360" w:lineRule="auto"/>
        <w:ind w:firstLine="709"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Рис. 1. Файлы ВЛР</w:t>
      </w:r>
    </w:p>
    <w:p w14:paraId="0D000000">
      <w:pPr>
        <w:widowControl w:val="0"/>
        <w:tabs>
          <w:tab w:leader="none" w:pos="1418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Теоретический материал к ВЛР представлен в файле Методические материалы. </w:t>
      </w:r>
      <w:r>
        <w:rPr>
          <w:rFonts w:ascii="Times New Roman" w:hAnsi="Times New Roman"/>
          <w:sz w:val="28"/>
        </w:rPr>
        <w:t xml:space="preserve">Для выхода из Методических материалов используется кнопка </w:t>
      </w:r>
      <w:r>
        <w:drawing>
          <wp:inline>
            <wp:extent cx="333375" cy="361950"/>
            <wp:effectExtent b="0" l="0" r="0" t="0"/>
            <wp:docPr hidden="false" id="3" name="Picture 3"/>
            <a:graphic>
              <a:graphicData uri="http://schemas.openxmlformats.org/drawingml/2006/picture">
                <pic:pic>
                  <pic:nvPicPr>
                    <pic:cNvPr hidden="false" id="4" name="Picture 4"/>
                    <pic:cNvPicPr preferRelativeResize="true"/>
                  </pic:nvPicPr>
                  <pic:blipFill>
                    <a:blip r:embed="rId2"/>
                    <a:stretch/>
                  </pic:blipFill>
                  <pic:spPr>
                    <a:xfrm flipH="false" flipV="false" rot="0">
                      <a:ext cx="333375" cy="36195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</w:rPr>
        <w:t xml:space="preserve">(стрелка «влево» на зеленом фоне в левом нижнем углу экрана). Для выхода из Виртуальной лаборатории – клавиша </w:t>
      </w:r>
      <w:r>
        <w:rPr>
          <w:rFonts w:ascii="Times New Roman" w:hAnsi="Times New Roman"/>
          <w:i w:val="1"/>
          <w:sz w:val="28"/>
        </w:rPr>
        <w:t>F</w:t>
      </w:r>
      <w:r>
        <w:rPr>
          <w:rFonts w:ascii="Times New Roman" w:hAnsi="Times New Roman"/>
          <w:i w:val="1"/>
          <w:sz w:val="28"/>
        </w:rPr>
        <w:t>10</w:t>
      </w:r>
      <w:r>
        <w:rPr>
          <w:rFonts w:ascii="Times New Roman" w:hAnsi="Times New Roman"/>
          <w:sz w:val="28"/>
        </w:rPr>
        <w:t>.</w:t>
      </w:r>
    </w:p>
    <w:p w14:paraId="0E00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 xml:space="preserve">Используйте сочетание клавиш </w:t>
      </w:r>
      <w:r>
        <w:rPr>
          <w:rFonts w:ascii="Times New Roman" w:hAnsi="Times New Roman"/>
          <w:b w:val="1"/>
          <w:i w:val="1"/>
          <w:sz w:val="28"/>
        </w:rPr>
        <w:t>Ctrl + Alt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sz w:val="28"/>
        </w:rPr>
        <w:t>чтобы курсор мыши имел возможность свернуть или уменьшить размер окна виртуального стола. Тогда вы сможете и работать на своем компьютере за пределами виртуального рабочего стола, и возвращаться обратно (рис. 2).</w:t>
      </w:r>
    </w:p>
    <w:p w14:paraId="0F000000">
      <w:pPr>
        <w:widowControl w:val="0"/>
        <w:spacing w:after="0" w:line="360" w:lineRule="auto"/>
        <w:ind/>
        <w:jc w:val="center"/>
        <w:rPr>
          <w:rFonts w:ascii="Times New Roman" w:hAnsi="Times New Roman"/>
          <w:b w:val="1"/>
          <w:sz w:val="28"/>
        </w:rPr>
      </w:pPr>
      <w:r>
        <w:drawing>
          <wp:inline>
            <wp:extent cx="5940425" cy="3276600"/>
            <wp:effectExtent b="0" l="0" r="0" t="0"/>
            <wp:docPr hidden="false" id="5" name="Picture 5"/>
            <a:graphic>
              <a:graphicData uri="http://schemas.openxmlformats.org/drawingml/2006/picture">
                <pic:pic>
                  <pic:nvPicPr>
                    <pic:cNvPr hidden="false" id="6" name="Picture 6"/>
                    <pic:cNvPicPr preferRelativeResize="true"/>
                  </pic:nvPicPr>
                  <pic:blipFill>
                    <a:blip r:embed="rId3"/>
                    <a:stretch/>
                  </pic:blipFill>
                  <pic:spPr>
                    <a:xfrm flipH="false" flipV="false" rot="0">
                      <a:ext cx="5940425" cy="327660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10000000">
      <w:pPr>
        <w:widowControl w:val="0"/>
        <w:spacing w:after="0" w:line="360" w:lineRule="auto"/>
        <w:ind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Рис. 2. Личный рабочий стол и виртуальный</w:t>
      </w:r>
    </w:p>
    <w:p w14:paraId="11000000">
      <w:pPr>
        <w:widowControl w:val="0"/>
        <w:spacing w:after="0"/>
        <w:ind w:firstLine="709" w:left="0"/>
        <w:jc w:val="both"/>
        <w:rPr>
          <w:rFonts w:ascii="Times New Roman" w:hAnsi="Times New Roman"/>
          <w:b w:val="1"/>
          <w:sz w:val="28"/>
        </w:rPr>
      </w:pPr>
    </w:p>
    <w:p w14:paraId="12000000">
      <w:pPr>
        <w:widowControl w:val="0"/>
        <w:ind w:firstLine="709" w:left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Активные клавиши</w:t>
      </w:r>
    </w:p>
    <w:p w14:paraId="13000000">
      <w:pPr>
        <w:widowControl w:val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этой лабораторной работе применяются следующие клавиши (рис. 3):</w:t>
      </w:r>
    </w:p>
    <w:p w14:paraId="14000000">
      <w:pPr>
        <w:widowControl w:val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i w:val="1"/>
          <w:sz w:val="28"/>
        </w:rPr>
        <w:t>W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i w:val="1"/>
          <w:sz w:val="28"/>
        </w:rPr>
        <w:t>S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i w:val="1"/>
          <w:sz w:val="28"/>
        </w:rPr>
        <w:t>A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i w:val="1"/>
          <w:sz w:val="28"/>
        </w:rPr>
        <w:t>D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– для перемещения в пространстве; </w:t>
      </w:r>
    </w:p>
    <w:p w14:paraId="15000000">
      <w:pPr>
        <w:widowControl w:val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i w:val="1"/>
          <w:sz w:val="28"/>
        </w:rPr>
        <w:t>F</w:t>
      </w:r>
      <w:r>
        <w:rPr>
          <w:rFonts w:ascii="Times New Roman" w:hAnsi="Times New Roman"/>
          <w:i w:val="1"/>
          <w:sz w:val="28"/>
        </w:rPr>
        <w:t>2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i w:val="1"/>
          <w:sz w:val="28"/>
        </w:rPr>
        <w:t>Е</w:t>
      </w:r>
      <w:r>
        <w:rPr>
          <w:rFonts w:ascii="Times New Roman" w:hAnsi="Times New Roman"/>
          <w:sz w:val="28"/>
        </w:rPr>
        <w:t xml:space="preserve"> – аналоги средней кнопки мыши-манипулятора (при первом нажатии берется объект, при последующем – ставится); </w:t>
      </w:r>
    </w:p>
    <w:p w14:paraId="16000000">
      <w:pPr>
        <w:widowControl w:val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i w:val="1"/>
          <w:sz w:val="28"/>
        </w:rPr>
        <w:t>F</w:t>
      </w:r>
      <w:r>
        <w:rPr>
          <w:rFonts w:ascii="Times New Roman" w:hAnsi="Times New Roman"/>
          <w:i w:val="1"/>
          <w:sz w:val="28"/>
        </w:rPr>
        <w:t>10</w:t>
      </w:r>
      <w:r>
        <w:rPr>
          <w:rFonts w:ascii="Times New Roman" w:hAnsi="Times New Roman"/>
          <w:sz w:val="28"/>
        </w:rPr>
        <w:t xml:space="preserve"> – выход из программы.</w:t>
      </w:r>
    </w:p>
    <w:p w14:paraId="17000000">
      <w:r>
        <w:br w:type="page"/>
      </w:r>
    </w:p>
    <w:p w14:paraId="18000000">
      <w:pPr>
        <w:widowControl w:val="0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drawing>
          <wp:inline>
            <wp:extent cx="5781675" cy="2085975"/>
            <wp:docPr hidden="false" id="7" name="Picture 7"/>
            <a:graphic>
              <a:graphicData uri="http://schemas.openxmlformats.org/drawingml/2006/picture">
                <pic:pic>
                  <pic:nvPicPr>
                    <pic:cNvPr hidden="false" id="8" name="Picture 8"/>
                    <pic:cNvPicPr preferRelativeResize="true"/>
                  </pic:nvPicPr>
                  <pic:blipFill>
                    <a:blip r:embed="rId4"/>
                    <a:srcRect b="0" l="0" r="0" t="0"/>
                    <a:stretch/>
                  </pic:blipFill>
                  <pic:spPr>
                    <a:xfrm flipH="false" flipV="false" rot="0">
                      <a:ext cx="5781675" cy="208597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19000000">
      <w:pPr>
        <w:widowControl w:val="0"/>
        <w:ind w:firstLine="709"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Рис. 3. Активные клавиши клавиатуры и мыши-манипулятора</w:t>
      </w:r>
    </w:p>
    <w:p w14:paraId="1A000000">
      <w:pPr>
        <w:widowControl w:val="0"/>
        <w:ind w:firstLine="709" w:left="0"/>
        <w:jc w:val="both"/>
        <w:rPr>
          <w:rFonts w:ascii="Times New Roman" w:hAnsi="Times New Roman"/>
          <w:sz w:val="28"/>
        </w:rPr>
      </w:pPr>
    </w:p>
    <w:p w14:paraId="1B00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Левая кнопка мыши (1) при нажатии и удерживании обрабатывает (поворачивает, переключает) тот или иной объект.</w:t>
      </w:r>
    </w:p>
    <w:p w14:paraId="1C00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Средняя кнопка (2) при первом нажатии (без прокрутки) берет объект, при последующем – ставит (прикрепляет). </w:t>
      </w:r>
    </w:p>
    <w:p w14:paraId="1D00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 нажатии правой кнопки мыши (3) появляется курсор-указатель (при повторном нажатии – исчезает).</w:t>
      </w:r>
    </w:p>
    <w:p w14:paraId="1E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i w:val="1"/>
          <w:sz w:val="28"/>
        </w:rPr>
        <w:t>Примечание</w:t>
      </w:r>
      <w:r>
        <w:rPr>
          <w:rFonts w:ascii="Times New Roman" w:hAnsi="Times New Roman"/>
          <w:sz w:val="28"/>
        </w:rPr>
        <w:t>: при появившемся курсоре невозможно перевести взгляд вверх и в стороны.</w:t>
      </w:r>
    </w:p>
    <w:p w14:paraId="1F000000">
      <w:pPr>
        <w:pStyle w:val="Style_3"/>
        <w:spacing w:after="0" w:before="0" w:line="360" w:lineRule="auto"/>
        <w:ind/>
        <w:jc w:val="center"/>
        <w:rPr>
          <w:sz w:val="14"/>
        </w:rPr>
      </w:pPr>
      <w:r>
        <w:rPr>
          <w:b w:val="1"/>
          <w:sz w:val="28"/>
        </w:rPr>
        <w:t>Оборудование в лабораторной работе</w:t>
      </w:r>
    </w:p>
    <w:p w14:paraId="20000000">
      <w:pPr>
        <w:spacing w:after="0" w:line="360" w:lineRule="auto"/>
        <w:ind w:firstLine="709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Лабораторная работа выполняется в аудитории на лабораторном стенде «Осветительная стойка» (рис. </w:t>
      </w:r>
      <w:r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).</w:t>
      </w:r>
    </w:p>
    <w:p w14:paraId="21000000">
      <w:pPr>
        <w:pStyle w:val="Style_3"/>
        <w:spacing w:after="0" w:before="0"/>
        <w:ind/>
        <w:jc w:val="center"/>
      </w:pPr>
      <w:r>
        <w:drawing>
          <wp:inline>
            <wp:extent cx="3305175" cy="3904786"/>
            <wp:effectExtent b="0" l="0" r="0" t="0"/>
            <wp:docPr hidden="false" id="9" name="Picture 9"/>
            <a:graphic>
              <a:graphicData uri="http://schemas.openxmlformats.org/drawingml/2006/picture">
                <pic:pic>
                  <pic:nvPicPr>
                    <pic:cNvPr hidden="false" id="10" name="Picture 10"/>
                    <pic:cNvPicPr preferRelativeResize="true"/>
                  </pic:nvPicPr>
                  <pic:blipFill>
                    <a:blip r:embed="rId5"/>
                    <a:srcRect b="0" l="0" r="0" t="0"/>
                    <a:stretch/>
                  </pic:blipFill>
                  <pic:spPr>
                    <a:xfrm flipH="false" flipV="false" rot="0">
                      <a:ext cx="3305175" cy="3904786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22000000">
      <w:pPr>
        <w:pStyle w:val="Style_3"/>
        <w:spacing w:after="0" w:before="0" w:line="360" w:lineRule="auto"/>
        <w:ind w:firstLine="709" w:left="0"/>
        <w:jc w:val="center"/>
        <w:rPr>
          <w:sz w:val="28"/>
        </w:rPr>
      </w:pPr>
      <w:r>
        <w:rPr>
          <w:sz w:val="28"/>
        </w:rPr>
        <w:t>Рис. 4</w:t>
      </w:r>
      <w:r>
        <w:rPr>
          <w:sz w:val="28"/>
        </w:rPr>
        <w:t>. Схема внешнего вида осветительной установки</w:t>
      </w:r>
      <w:r>
        <w:rPr>
          <w:sz w:val="28"/>
        </w:rPr>
        <w:t>:</w:t>
      </w:r>
    </w:p>
    <w:p w14:paraId="23000000">
      <w:pPr>
        <w:pStyle w:val="Style_3"/>
        <w:spacing w:after="0" w:line="360" w:lineRule="auto"/>
        <w:ind/>
        <w:jc w:val="center"/>
        <w:rPr>
          <w:sz w:val="28"/>
        </w:rPr>
      </w:pPr>
      <w:r>
        <w:rPr>
          <w:sz w:val="28"/>
        </w:rPr>
        <w:t xml:space="preserve">1 </w:t>
      </w:r>
      <w:r>
        <w:rPr>
          <w:sz w:val="28"/>
        </w:rPr>
        <w:t>–</w:t>
      </w:r>
      <w:r>
        <w:rPr>
          <w:sz w:val="28"/>
        </w:rPr>
        <w:t xml:space="preserve"> опорная площадка стойки; 2 </w:t>
      </w:r>
      <w:r>
        <w:rPr>
          <w:sz w:val="28"/>
        </w:rPr>
        <w:t>–</w:t>
      </w:r>
      <w:r>
        <w:rPr>
          <w:sz w:val="28"/>
        </w:rPr>
        <w:t xml:space="preserve"> стойки с измерительной линейкой; 3 </w:t>
      </w:r>
      <w:r>
        <w:rPr>
          <w:sz w:val="28"/>
        </w:rPr>
        <w:t>–</w:t>
      </w:r>
      <w:r>
        <w:rPr>
          <w:sz w:val="28"/>
        </w:rPr>
        <w:t xml:space="preserve"> площадка для размещения датчика ПЛ; 4 </w:t>
      </w:r>
      <w:r>
        <w:rPr>
          <w:sz w:val="28"/>
        </w:rPr>
        <w:t>–</w:t>
      </w:r>
      <w:r>
        <w:rPr>
          <w:sz w:val="28"/>
        </w:rPr>
        <w:t xml:space="preserve"> передвижная втулка-держатель с тормозной собачкой; 5 </w:t>
      </w:r>
      <w:r>
        <w:rPr>
          <w:sz w:val="28"/>
        </w:rPr>
        <w:t>–</w:t>
      </w:r>
      <w:r>
        <w:rPr>
          <w:sz w:val="28"/>
        </w:rPr>
        <w:t xml:space="preserve"> панель управления; 6 – светильники с лампой накаливания (200 Вт) и люминесцентной лампой (20 Вт); 7 </w:t>
      </w:r>
      <w:r>
        <w:rPr>
          <w:sz w:val="28"/>
        </w:rPr>
        <w:t>–</w:t>
      </w:r>
      <w:r>
        <w:rPr>
          <w:sz w:val="28"/>
        </w:rPr>
        <w:t xml:space="preserve"> выключатель установки; 8 – регулятор </w:t>
      </w:r>
      <w:r>
        <w:rPr>
          <w:sz w:val="28"/>
        </w:rPr>
        <w:t>напряжения; 9 – вольтметр</w:t>
      </w:r>
    </w:p>
    <w:p w14:paraId="24000000">
      <w:pPr>
        <w:pStyle w:val="Style_3"/>
        <w:spacing w:after="0" w:before="0" w:line="360" w:lineRule="auto"/>
        <w:ind/>
        <w:jc w:val="both"/>
        <w:rPr>
          <w:sz w:val="28"/>
        </w:rPr>
      </w:pPr>
    </w:p>
    <w:p w14:paraId="25000000">
      <w:pPr>
        <w:pStyle w:val="Style_3"/>
        <w:spacing w:after="0" w:before="0" w:line="360" w:lineRule="auto"/>
        <w:ind w:firstLine="709" w:left="0"/>
        <w:jc w:val="both"/>
        <w:rPr>
          <w:sz w:val="28"/>
        </w:rPr>
      </w:pPr>
      <w:r>
        <w:rPr>
          <w:sz w:val="28"/>
        </w:rPr>
        <w:t xml:space="preserve">Измерение освещенности осуществляется люксметром-пульсметром с измерительным датчиком. </w:t>
      </w:r>
    </w:p>
    <w:p w14:paraId="26000000">
      <w:pPr>
        <w:pStyle w:val="Style_3"/>
        <w:spacing w:after="0" w:before="0" w:line="360" w:lineRule="auto"/>
        <w:ind w:firstLine="709" w:left="0"/>
        <w:jc w:val="both"/>
        <w:rPr>
          <w:sz w:val="28"/>
        </w:rPr>
      </w:pPr>
      <w:r>
        <w:rPr>
          <w:sz w:val="28"/>
        </w:rPr>
        <w:t xml:space="preserve">Люксметр-пульсметр (далее – ЛП) находится на преподавательском столе. Прибор представляет собой корпус и датчик, соединенный с корпусом проводом. ЛП фиксирует освещенность (возможно переключение на диапазоны ×1, ×10, ×100) и коэффициент пульсации (значения в пределах от 0 до 100, %), режимы меняются с помощью переключателя. </w:t>
      </w:r>
    </w:p>
    <w:p w14:paraId="27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 активизации </w:t>
      </w:r>
      <w:r>
        <w:rPr>
          <w:rFonts w:ascii="Times New Roman" w:hAnsi="Times New Roman"/>
          <w:sz w:val="28"/>
        </w:rPr>
        <w:t>прибор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в правом верхнем меню экрана появится его двухмерное изображение.</w:t>
      </w:r>
    </w:p>
    <w:p w14:paraId="28000000">
      <w:pPr>
        <w:spacing w:line="360" w:lineRule="auto"/>
        <w:ind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drawing>
          <wp:inline>
            <wp:extent cx="2377440" cy="2377440"/>
            <wp:effectExtent b="0" l="0" r="0" t="0"/>
            <wp:docPr hidden="false" id="11" name="Picture 11"/>
            <a:graphic>
              <a:graphicData uri="http://schemas.openxmlformats.org/drawingml/2006/picture">
                <pic:pic>
                  <pic:nvPicPr>
                    <pic:cNvPr hidden="false" id="12" name="Picture 12"/>
                    <pic:cNvPicPr preferRelativeResize="true"/>
                  </pic:nvPicPr>
                  <pic:blipFill>
                    <a:blip r:embed="rId6"/>
                    <a:srcRect b="0" l="0" r="0" t="0"/>
                    <a:stretch/>
                  </pic:blipFill>
                  <pic:spPr>
                    <a:xfrm flipH="false" flipV="false" rot="0">
                      <a:ext cx="2377440" cy="237744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29000000">
      <w:pPr>
        <w:spacing w:line="36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Рис. 5</w:t>
      </w:r>
      <w:r>
        <w:rPr>
          <w:rFonts w:ascii="Times New Roman" w:hAnsi="Times New Roman"/>
          <w:sz w:val="28"/>
        </w:rPr>
        <w:t>. Люксметр-пульсметр</w:t>
      </w:r>
    </w:p>
    <w:p w14:paraId="2A000000">
      <w:pPr>
        <w:spacing w:line="360" w:lineRule="auto"/>
        <w:ind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drawing>
          <wp:inline>
            <wp:extent cx="4480560" cy="3474720"/>
            <wp:effectExtent b="0" l="0" r="0" t="0"/>
            <wp:docPr hidden="false" id="13" name="Picture 13"/>
            <a:graphic>
              <a:graphicData uri="http://schemas.openxmlformats.org/drawingml/2006/picture">
                <pic:pic>
                  <pic:nvPicPr>
                    <pic:cNvPr hidden="false" id="14" name="Picture 14"/>
                    <pic:cNvPicPr preferRelativeResize="true"/>
                  </pic:nvPicPr>
                  <pic:blipFill>
                    <a:blip r:embed="rId7"/>
                    <a:srcRect b="0" l="0" r="0" t="0"/>
                    <a:stretch/>
                  </pic:blipFill>
                  <pic:spPr>
                    <a:xfrm flipH="false" flipV="false" rot="0">
                      <a:ext cx="4480560" cy="347472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2B000000">
      <w:pPr>
        <w:pStyle w:val="Style_3"/>
        <w:spacing w:after="0" w:before="0"/>
        <w:ind/>
        <w:jc w:val="center"/>
        <w:rPr>
          <w:sz w:val="28"/>
        </w:rPr>
      </w:pPr>
      <w:r>
        <w:rPr>
          <w:sz w:val="28"/>
        </w:rPr>
        <w:t>Рис. 6</w:t>
      </w:r>
      <w:r>
        <w:rPr>
          <w:sz w:val="28"/>
        </w:rPr>
        <w:t>. Лабораторный стенд «Осветительная стойка»</w:t>
      </w:r>
    </w:p>
    <w:p w14:paraId="2C000000">
      <w:pPr>
        <w:pStyle w:val="Style_3"/>
        <w:spacing w:after="180" w:before="270"/>
        <w:ind/>
        <w:jc w:val="center"/>
        <w:rPr>
          <w:b w:val="1"/>
          <w:sz w:val="28"/>
        </w:rPr>
      </w:pPr>
    </w:p>
    <w:p w14:paraId="2D000000">
      <w:pPr>
        <w:pStyle w:val="Style_3"/>
        <w:spacing w:after="180" w:before="270"/>
        <w:ind/>
        <w:jc w:val="center"/>
        <w:rPr>
          <w:sz w:val="22"/>
        </w:rPr>
      </w:pPr>
      <w:r>
        <w:rPr>
          <w:b w:val="1"/>
          <w:sz w:val="28"/>
        </w:rPr>
        <w:t>Порядок выполнения работы</w:t>
      </w:r>
    </w:p>
    <w:p w14:paraId="2E000000">
      <w:pPr>
        <w:pStyle w:val="Style_3"/>
        <w:spacing w:after="0" w:before="0" w:line="360" w:lineRule="auto"/>
        <w:ind w:firstLine="709" w:left="0"/>
        <w:jc w:val="center"/>
        <w:rPr>
          <w:sz w:val="28"/>
          <w:u w:val="single"/>
        </w:rPr>
      </w:pPr>
      <w:r>
        <w:rPr>
          <w:sz w:val="28"/>
          <w:u w:val="single"/>
        </w:rPr>
        <w:t xml:space="preserve">Исследование зависимости освещенности от высоты подвески </w:t>
      </w:r>
      <w:r>
        <w:rPr>
          <w:sz w:val="28"/>
          <w:u w:val="single"/>
        </w:rPr>
        <w:t>светильника</w:t>
      </w:r>
    </w:p>
    <w:p w14:paraId="2F000000">
      <w:pPr>
        <w:pStyle w:val="Style_3"/>
        <w:numPr>
          <w:ilvl w:val="0"/>
          <w:numId w:val="1"/>
        </w:numPr>
        <w:spacing w:after="0" w:before="0" w:line="360" w:lineRule="auto"/>
        <w:ind w:firstLine="709" w:left="0"/>
        <w:jc w:val="both"/>
        <w:rPr>
          <w:sz w:val="28"/>
        </w:rPr>
      </w:pPr>
      <w:r>
        <w:rPr>
          <w:sz w:val="28"/>
        </w:rPr>
        <w:t>Включите лабораторную установку регулятором напряжения</w:t>
      </w:r>
      <w:r>
        <w:rPr>
          <w:sz w:val="28"/>
        </w:rPr>
        <w:t xml:space="preserve"> на панели управления 5 (рис. 4</w:t>
      </w:r>
      <w:r>
        <w:rPr>
          <w:sz w:val="28"/>
        </w:rPr>
        <w:t xml:space="preserve">). </w:t>
      </w:r>
    </w:p>
    <w:p w14:paraId="30000000">
      <w:pPr>
        <w:pStyle w:val="Style_3"/>
        <w:numPr>
          <w:ilvl w:val="0"/>
          <w:numId w:val="1"/>
        </w:numPr>
        <w:spacing w:after="0" w:before="0" w:line="360" w:lineRule="auto"/>
        <w:ind w:firstLine="709" w:left="0"/>
        <w:jc w:val="both"/>
        <w:rPr>
          <w:sz w:val="28"/>
        </w:rPr>
      </w:pPr>
      <w:r>
        <w:rPr>
          <w:sz w:val="28"/>
        </w:rPr>
        <w:t xml:space="preserve">Включите ЛП в режим измерения освещенности, начиная с позиции ×1. </w:t>
      </w:r>
    </w:p>
    <w:p w14:paraId="31000000">
      <w:pPr>
        <w:pStyle w:val="Style_3"/>
        <w:numPr>
          <w:ilvl w:val="0"/>
          <w:numId w:val="1"/>
        </w:numPr>
        <w:spacing w:after="0" w:before="0" w:line="360" w:lineRule="auto"/>
        <w:ind w:firstLine="709" w:left="0"/>
        <w:jc w:val="both"/>
        <w:rPr>
          <w:sz w:val="28"/>
        </w:rPr>
      </w:pPr>
      <w:r>
        <w:rPr>
          <w:sz w:val="28"/>
        </w:rPr>
        <w:t xml:space="preserve">Разместите </w:t>
      </w:r>
      <w:r>
        <w:rPr>
          <w:sz w:val="28"/>
        </w:rPr>
        <w:t>ЛП по центру площадки (рис. 4,</w:t>
      </w:r>
      <w:r>
        <w:rPr>
          <w:sz w:val="28"/>
        </w:rPr>
        <w:t xml:space="preserve"> 3). </w:t>
      </w:r>
    </w:p>
    <w:p w14:paraId="32000000">
      <w:pPr>
        <w:pStyle w:val="Style_3"/>
        <w:numPr>
          <w:ilvl w:val="0"/>
          <w:numId w:val="1"/>
        </w:numPr>
        <w:spacing w:after="0" w:before="0" w:line="360" w:lineRule="auto"/>
        <w:ind w:firstLine="709" w:left="0"/>
        <w:jc w:val="both"/>
        <w:rPr>
          <w:sz w:val="28"/>
        </w:rPr>
      </w:pPr>
      <w:r>
        <w:rPr>
          <w:sz w:val="28"/>
        </w:rPr>
        <w:t xml:space="preserve">Площадку (3) при помощи передвижной втулки установите на отметке 0 см. </w:t>
      </w:r>
    </w:p>
    <w:p w14:paraId="33000000">
      <w:pPr>
        <w:pStyle w:val="Style_3"/>
        <w:numPr>
          <w:ilvl w:val="0"/>
          <w:numId w:val="1"/>
        </w:numPr>
        <w:spacing w:after="0" w:before="0" w:line="360" w:lineRule="auto"/>
        <w:ind w:firstLine="709" w:left="0"/>
        <w:jc w:val="both"/>
        <w:rPr>
          <w:sz w:val="28"/>
        </w:rPr>
      </w:pPr>
      <w:r>
        <w:rPr>
          <w:sz w:val="28"/>
        </w:rPr>
        <w:t xml:space="preserve">Регулятором напряжения (8) установите напряжение по заданию преподавателя (в диапазоне от 50 до 260 В). </w:t>
      </w:r>
    </w:p>
    <w:p w14:paraId="34000000">
      <w:pPr>
        <w:pStyle w:val="Style_3"/>
        <w:numPr>
          <w:ilvl w:val="0"/>
          <w:numId w:val="1"/>
        </w:numPr>
        <w:spacing w:after="0" w:before="0" w:line="360" w:lineRule="auto"/>
        <w:ind w:firstLine="709" w:left="0"/>
        <w:jc w:val="both"/>
        <w:rPr>
          <w:sz w:val="28"/>
        </w:rPr>
      </w:pPr>
      <w:r>
        <w:rPr>
          <w:sz w:val="28"/>
        </w:rPr>
        <w:t xml:space="preserve">Включите лампу накаливания выключателем на панели управления. </w:t>
      </w:r>
    </w:p>
    <w:p w14:paraId="35000000">
      <w:pPr>
        <w:pStyle w:val="Style_3"/>
        <w:numPr>
          <w:ilvl w:val="0"/>
          <w:numId w:val="1"/>
        </w:numPr>
        <w:spacing w:after="0" w:before="0" w:line="360" w:lineRule="auto"/>
        <w:ind w:firstLine="709" w:left="0"/>
        <w:jc w:val="both"/>
        <w:rPr>
          <w:sz w:val="28"/>
        </w:rPr>
      </w:pPr>
      <w:r>
        <w:rPr>
          <w:sz w:val="28"/>
        </w:rPr>
        <w:t>Произведите снятие значения освещенности (если на дисплее прибора высветилось значение «Е»</w:t>
      </w:r>
      <w:r>
        <w:rPr>
          <w:sz w:val="28"/>
        </w:rPr>
        <w:t>,</w:t>
      </w:r>
      <w:r>
        <w:rPr>
          <w:sz w:val="28"/>
        </w:rPr>
        <w:t xml:space="preserve"> необходимо перевести переключатели режимов в положение ×10 или ×100). Результат измерения ос</w:t>
      </w:r>
      <w:r>
        <w:rPr>
          <w:sz w:val="28"/>
        </w:rPr>
        <w:t xml:space="preserve">вещенности занесите в табл. </w:t>
      </w:r>
      <w:r>
        <w:rPr>
          <w:sz w:val="28"/>
        </w:rPr>
        <w:t xml:space="preserve">1. </w:t>
      </w:r>
    </w:p>
    <w:p w14:paraId="36000000">
      <w:pPr>
        <w:pStyle w:val="Style_3"/>
        <w:numPr>
          <w:ilvl w:val="0"/>
          <w:numId w:val="1"/>
        </w:numPr>
        <w:spacing w:after="0" w:before="0" w:line="360" w:lineRule="auto"/>
        <w:ind w:firstLine="709" w:left="0"/>
        <w:jc w:val="both"/>
        <w:rPr>
          <w:sz w:val="28"/>
        </w:rPr>
      </w:pPr>
      <w:r>
        <w:rPr>
          <w:sz w:val="28"/>
        </w:rPr>
        <w:t xml:space="preserve">Опуская площадку (3) с ЛП, измерьте освещенность при расположении датчика на высотах от 10 до 170 см. </w:t>
      </w:r>
    </w:p>
    <w:p w14:paraId="37000000">
      <w:pPr>
        <w:pStyle w:val="Style_3"/>
        <w:numPr>
          <w:ilvl w:val="0"/>
          <w:numId w:val="1"/>
        </w:numPr>
        <w:spacing w:after="0" w:before="0" w:line="360" w:lineRule="auto"/>
        <w:ind w:firstLine="709" w:left="0"/>
        <w:jc w:val="both"/>
        <w:rPr>
          <w:sz w:val="28"/>
        </w:rPr>
      </w:pPr>
      <w:r>
        <w:rPr>
          <w:sz w:val="28"/>
        </w:rPr>
        <w:t xml:space="preserve">Произведите аналогичные измерения при включении люминесцентной лампы. </w:t>
      </w:r>
    </w:p>
    <w:p w14:paraId="38000000">
      <w:pPr>
        <w:pStyle w:val="Style_3"/>
        <w:numPr>
          <w:ilvl w:val="0"/>
          <w:numId w:val="1"/>
        </w:numPr>
        <w:spacing w:after="0" w:before="0" w:line="360" w:lineRule="auto"/>
        <w:ind w:firstLine="709" w:left="0"/>
        <w:jc w:val="both"/>
        <w:rPr>
          <w:sz w:val="28"/>
        </w:rPr>
      </w:pPr>
      <w:r>
        <w:rPr>
          <w:sz w:val="28"/>
        </w:rPr>
        <w:t>Рассчитайте фактическую освещенность (</w:t>
      </w:r>
      <m:oMathPara>
        <m:oMath>
          <m:sSub>
            <m:e>
              <m:r>
                <w:rPr>
                  <w:rFonts w:ascii="Cambria Math" w:hAnsi="Cambria Math"/>
                  <w:sz w:val="24"/>
                </w:rPr>
                <m:t>E</m:t>
              </m:r>
            </m:e>
            <m:sub>
              <m:r>
                <w:rPr>
                  <w:rFonts w:ascii="Cambria Math" w:hAnsi="Cambria Math"/>
                  <w:sz w:val="24"/>
                </w:rPr>
                <m:rPr>
                  <m:sty m:val="p"/>
                </m:rPr>
                <m:t>факт</m:t>
              </m:r>
            </m:sub>
          </m:sSub>
        </m:oMath>
      </m:oMathPara>
      <w:r>
        <w:rPr>
          <w:sz w:val="28"/>
        </w:rPr>
        <w:t xml:space="preserve">, лк) по формуле: </w:t>
      </w:r>
    </w:p>
    <w:p w14:paraId="39000000">
      <w:pPr>
        <w:pStyle w:val="Style_3"/>
        <w:spacing w:after="0" w:before="0" w:line="360" w:lineRule="auto"/>
        <w:ind w:firstLine="709" w:left="0"/>
        <w:jc w:val="both"/>
        <w:rPr>
          <w:sz w:val="28"/>
        </w:rPr>
      </w:pPr>
      <m:oMathPara>
        <m:oMath>
          <m:sSub>
            <m:e>
              <m:r>
                <w:rPr>
                  <w:rFonts w:ascii="Cambria Math" w:hAnsi="Cambria Math"/>
                  <w:sz w:val="24"/>
                </w:rPr>
                <m:t>E</m:t>
              </m:r>
            </m:e>
            <m:sub>
              <m:r>
                <w:rPr>
                  <w:rFonts w:ascii="Cambria Math" w:hAnsi="Cambria Math"/>
                  <w:sz w:val="24"/>
                </w:rPr>
                <m:rPr>
                  <m:sty m:val="p"/>
                </m:rPr>
                <m:t>факт</m:t>
              </m:r>
            </m:sub>
          </m:sSub>
          <m:r>
            <w:rPr>
              <w:rFonts w:ascii="Cambria Math" w:hAnsi="Cambria Math"/>
              <w:sz w:val="24"/>
            </w:rPr>
            <m:t>=</m:t>
          </m:r>
          <m:sSub>
            <m:e>
              <m:r>
                <w:rPr>
                  <w:rFonts w:ascii="Cambria Math" w:hAnsi="Cambria Math"/>
                  <w:sz w:val="24"/>
                </w:rPr>
                <m:t>E</m:t>
              </m:r>
            </m:e>
            <m:sub>
              <m:r>
                <w:rPr>
                  <w:rFonts w:ascii="Cambria Math" w:hAnsi="Cambria Math"/>
                  <w:sz w:val="24"/>
                </w:rPr>
                <m:rPr>
                  <m:sty m:val="p"/>
                </m:rPr>
                <m:t>изм</m:t>
              </m:r>
            </m:sub>
          </m:sSub>
          <m:sSub>
            <m:e>
              <m:r>
                <w:rPr>
                  <w:rFonts w:ascii="Cambria Math" w:hAnsi="Cambria Math"/>
                  <w:sz w:val="24"/>
                </w:rPr>
                <m:t>K</m:t>
              </m:r>
            </m:e>
            <m:sub>
              <m:r>
                <w:rPr>
                  <w:rFonts w:ascii="Cambria Math" w:hAnsi="Cambria Math"/>
                  <w:sz w:val="24"/>
                </w:rPr>
                <m:t>1</m:t>
              </m:r>
            </m:sub>
          </m:sSub>
          <m:sSub>
            <m:e>
              <m:r>
                <w:rPr>
                  <w:rFonts w:ascii="Cambria Math" w:hAnsi="Cambria Math"/>
                  <w:sz w:val="24"/>
                </w:rPr>
                <m:t>K</m:t>
              </m:r>
            </m:e>
            <m:sub>
              <m:r>
                <w:rPr>
                  <w:rFonts w:ascii="Cambria Math" w:hAnsi="Cambria Math"/>
                  <w:sz w:val="24"/>
                </w:rPr>
                <m:t>2</m:t>
              </m:r>
            </m:sub>
          </m:sSub>
        </m:oMath>
      </m:oMathPara>
      <w:r>
        <w:rPr>
          <w:sz w:val="28"/>
        </w:rPr>
        <w:t xml:space="preserve">, </w:t>
      </w:r>
    </w:p>
    <w:p w14:paraId="3A000000">
      <w:pPr>
        <w:pStyle w:val="Style_3"/>
        <w:spacing w:after="0" w:before="0" w:line="360" w:lineRule="auto"/>
        <w:ind w:firstLine="709" w:left="0"/>
        <w:jc w:val="both"/>
        <w:rPr>
          <w:sz w:val="28"/>
        </w:rPr>
      </w:pPr>
      <w:r>
        <w:rPr>
          <w:sz w:val="28"/>
        </w:rPr>
        <w:t xml:space="preserve">где </w:t>
      </w:r>
      <m:oMathPara>
        <m:oMath>
          <m:sSub>
            <m:e>
              <m:r>
                <w:rPr>
                  <w:rFonts w:ascii="Cambria Math" w:hAnsi="Cambria Math"/>
                  <w:sz w:val="24"/>
                </w:rPr>
                <m:t>E</m:t>
              </m:r>
            </m:e>
            <m:sub>
              <m:r>
                <w:rPr>
                  <w:rFonts w:ascii="Cambria Math" w:hAnsi="Cambria Math"/>
                  <w:sz w:val="24"/>
                </w:rPr>
                <m:rPr>
                  <m:sty m:val="p"/>
                </m:rPr>
                <m:t>изм</m:t>
              </m:r>
            </m:sub>
          </m:sSub>
        </m:oMath>
      </m:oMathPara>
      <w:r>
        <w:rPr>
          <w:sz w:val="28"/>
        </w:rPr>
        <w:t xml:space="preserve"> </w:t>
      </w:r>
      <w:r>
        <w:rPr>
          <w:sz w:val="28"/>
        </w:rPr>
        <w:t xml:space="preserve">– измеренная освещенность по показанию прибора; </w:t>
      </w:r>
    </w:p>
    <w:p w14:paraId="3B000000">
      <w:pPr>
        <w:pStyle w:val="Style_3"/>
        <w:spacing w:after="0" w:before="0" w:line="360" w:lineRule="auto"/>
        <w:ind w:firstLine="709" w:left="0"/>
        <w:jc w:val="both"/>
        <w:rPr>
          <w:sz w:val="28"/>
        </w:rPr>
      </w:pPr>
      <m:oMathPara>
        <m:oMath>
          <m:sSub>
            <m:e>
              <m:r>
                <w:rPr>
                  <w:rFonts w:ascii="Cambria Math" w:hAnsi="Cambria Math"/>
                  <w:sz w:val="24"/>
                </w:rPr>
                <m:t>K</m:t>
              </m:r>
            </m:e>
            <m:sub>
              <m:r>
                <w:rPr>
                  <w:rFonts w:ascii="Cambria Math" w:hAnsi="Cambria Math"/>
                  <w:sz w:val="24"/>
                </w:rPr>
                <m:t>1</m:t>
              </m:r>
            </m:sub>
          </m:sSub>
        </m:oMath>
      </m:oMathPara>
      <w:r>
        <w:rPr>
          <w:sz w:val="28"/>
        </w:rPr>
        <w:t xml:space="preserve"> </w:t>
      </w:r>
      <w:r>
        <w:rPr>
          <w:sz w:val="28"/>
        </w:rPr>
        <w:t xml:space="preserve">– коэффициент, учитывающий спектр излучения источников света; </w:t>
      </w:r>
    </w:p>
    <w:p w14:paraId="3C000000">
      <w:pPr>
        <w:pStyle w:val="Style_3"/>
        <w:spacing w:after="0" w:before="0" w:line="360" w:lineRule="auto"/>
        <w:ind w:firstLine="709" w:left="0"/>
        <w:jc w:val="both"/>
        <w:rPr>
          <w:sz w:val="28"/>
        </w:rPr>
      </w:pPr>
      <m:oMathPara>
        <m:oMath>
          <m:sSub>
            <m:e>
              <m:r>
                <w:rPr>
                  <w:rFonts w:ascii="Cambria Math" w:hAnsi="Cambria Math"/>
                  <w:sz w:val="24"/>
                </w:rPr>
                <m:t>K</m:t>
              </m:r>
            </m:e>
            <m:sub>
              <m:r>
                <w:rPr>
                  <w:rFonts w:ascii="Cambria Math" w:hAnsi="Cambria Math"/>
                  <w:sz w:val="24"/>
                </w:rPr>
                <m:t>2</m:t>
              </m:r>
            </m:sub>
          </m:sSub>
        </m:oMath>
      </m:oMathPara>
      <w:r>
        <w:rPr>
          <w:sz w:val="28"/>
        </w:rPr>
        <w:t xml:space="preserve"> </w:t>
      </w:r>
      <w:r>
        <w:rPr>
          <w:sz w:val="28"/>
        </w:rPr>
        <w:t xml:space="preserve">– коэффициент, учитывающий значение напряжения в сети. </w:t>
      </w:r>
    </w:p>
    <w:p w14:paraId="3D000000">
      <w:pPr>
        <w:pStyle w:val="Style_3"/>
        <w:numPr>
          <w:ilvl w:val="0"/>
          <w:numId w:val="1"/>
        </w:numPr>
        <w:spacing w:after="0" w:before="0" w:line="360" w:lineRule="auto"/>
        <w:ind w:firstLine="851" w:left="-142"/>
        <w:jc w:val="both"/>
        <w:rPr>
          <w:sz w:val="28"/>
        </w:rPr>
      </w:pPr>
      <w:r>
        <w:rPr>
          <w:sz w:val="28"/>
        </w:rPr>
        <w:t xml:space="preserve">Рассчитайте световую отдачу используемых ламп по формуле: </w:t>
      </w:r>
    </w:p>
    <w:p w14:paraId="3E000000">
      <w:pPr>
        <w:pStyle w:val="Style_3"/>
        <w:spacing w:after="0" w:before="0" w:line="360" w:lineRule="auto"/>
        <w:ind w:firstLine="709" w:left="0"/>
        <w:jc w:val="both"/>
        <w:rPr>
          <w:sz w:val="28"/>
        </w:rPr>
      </w:pPr>
      <m:oMathPara>
        <m:oMath>
          <m:r>
            <w:rPr>
              <w:rFonts w:ascii="Cambria Math" w:hAnsi="Cambria Math"/>
              <w:sz w:val="24"/>
            </w:rPr>
            <m:rPr>
              <m:sty m:val="p"/>
            </m:rPr>
            <m:t>CO</m:t>
          </m:r>
          <m:r>
            <w:rPr>
              <w:rFonts w:ascii="Cambria Math" w:hAnsi="Cambria Math"/>
              <w:sz w:val="24"/>
            </w:rPr>
            <m:t>=</m:t>
          </m:r>
          <m:f>
            <m:fPr>
              <m:type m:val="bar"/>
            </m:fPr>
            <m:num>
              <m:r>
                <w:rPr>
                  <w:rFonts w:ascii="Cambria Math" w:hAnsi="Cambria Math"/>
                  <w:sz w:val="24"/>
                </w:rPr>
                <m:rPr>
                  <m:sty m:val="p"/>
                </m:rPr>
                <m:t>3,1</m:t>
              </m:r>
              <m:r>
                <w:rPr>
                  <w:rFonts w:ascii="Cambria Math" w:hAnsi="Cambria Math"/>
                  <w:sz w:val="24"/>
                </w:rPr>
                <m:t>•</m:t>
              </m:r>
              <m:sSub>
                <m:e>
                  <m:r>
                    <w:rPr>
                      <w:rFonts w:ascii="Cambria Math" w:hAnsi="Cambria Math"/>
                      <w:sz w:val="24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  <w:sz w:val="24"/>
                    </w:rPr>
                    <m:rPr>
                      <m:sty m:val="p"/>
                    </m:rPr>
                    <m:t>факт</m:t>
                  </m:r>
                </m:sub>
              </m:sSub>
              <m:sSup>
                <m:e>
                  <m:r>
                    <w:rPr>
                      <w:rFonts w:ascii="Cambria Math" w:hAnsi="Cambria Math"/>
                      <w:sz w:val="24"/>
                    </w:rPr>
                    <m:t>h</m:t>
                  </m:r>
                </m:e>
                <m:sup>
                  <m:r>
                    <w:rPr>
                      <w:rFonts w:ascii="Cambria Math" w:hAnsi="Cambria Math"/>
                      <w:sz w:val="24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  <w:sz w:val="24"/>
                </w:rPr>
                <m:t>p</m:t>
              </m:r>
            </m:den>
          </m:f>
        </m:oMath>
      </m:oMathPara>
      <w:r>
        <w:rPr>
          <w:sz w:val="28"/>
        </w:rPr>
        <w:t xml:space="preserve">, </w:t>
      </w:r>
    </w:p>
    <w:p w14:paraId="3F000000">
      <w:pPr>
        <w:pStyle w:val="Style_3"/>
        <w:spacing w:after="0" w:before="0" w:line="360" w:lineRule="auto"/>
        <w:ind w:firstLine="709" w:left="0"/>
        <w:jc w:val="both"/>
        <w:rPr>
          <w:sz w:val="28"/>
        </w:rPr>
      </w:pPr>
      <w:r>
        <w:rPr>
          <w:sz w:val="28"/>
        </w:rPr>
        <w:t xml:space="preserve">где </w:t>
      </w:r>
      <m:oMathPara>
        <m:oMath>
          <m:r>
            <w:rPr>
              <w:rFonts w:ascii="Cambria Math" w:hAnsi="Cambria Math"/>
              <w:sz w:val="24"/>
            </w:rPr>
            <m:t>E</m:t>
          </m:r>
        </m:oMath>
      </m:oMathPara>
      <w:r>
        <w:rPr>
          <w:sz w:val="28"/>
        </w:rPr>
        <w:t xml:space="preserve"> – освещенность, создаваемая данной лампой, лк; </w:t>
      </w:r>
    </w:p>
    <w:p w14:paraId="40000000">
      <w:pPr>
        <w:pStyle w:val="Style_3"/>
        <w:spacing w:after="0" w:before="0" w:line="360" w:lineRule="auto"/>
        <w:ind w:firstLine="709" w:left="0"/>
        <w:jc w:val="both"/>
        <w:rPr>
          <w:sz w:val="28"/>
        </w:rPr>
      </w:pPr>
      <m:oMathPara>
        <m:oMath>
          <m:r>
            <w:rPr>
              <w:rFonts w:ascii="Cambria Math" w:hAnsi="Cambria Math"/>
              <w:sz w:val="24"/>
            </w:rPr>
            <m:t>h</m:t>
          </m:r>
        </m:oMath>
      </m:oMathPara>
      <w:r>
        <w:rPr>
          <w:sz w:val="28"/>
        </w:rPr>
        <w:t xml:space="preserve"> </w:t>
      </w:r>
      <w:r>
        <w:rPr>
          <w:sz w:val="28"/>
        </w:rPr>
        <w:t xml:space="preserve">– высота подвеса лампы над поверхностью, м; </w:t>
      </w:r>
    </w:p>
    <w:p w14:paraId="41000000">
      <w:pPr>
        <w:pStyle w:val="Style_3"/>
        <w:spacing w:after="0" w:before="0" w:line="360" w:lineRule="auto"/>
        <w:ind w:firstLine="709" w:left="0"/>
        <w:jc w:val="both"/>
        <w:rPr>
          <w:sz w:val="28"/>
        </w:rPr>
      </w:pPr>
      <m:oMathPara>
        <m:oMath>
          <m:r>
            <w:rPr>
              <w:rFonts w:ascii="Cambria Math" w:hAnsi="Cambria Math"/>
              <w:sz w:val="24"/>
            </w:rPr>
            <m:t>p</m:t>
          </m:r>
        </m:oMath>
      </m:oMathPara>
      <w:r>
        <w:rPr>
          <w:sz w:val="28"/>
        </w:rPr>
        <w:t xml:space="preserve"> </w:t>
      </w:r>
      <w:r>
        <w:rPr>
          <w:sz w:val="28"/>
        </w:rPr>
        <w:t xml:space="preserve">– мощность лампы, Вт. </w:t>
      </w:r>
    </w:p>
    <w:p w14:paraId="42000000">
      <w:pPr>
        <w:pStyle w:val="Style_3"/>
        <w:numPr>
          <w:ilvl w:val="0"/>
          <w:numId w:val="1"/>
        </w:numPr>
        <w:spacing w:after="0" w:before="0" w:line="360" w:lineRule="auto"/>
        <w:ind w:firstLine="709" w:left="0"/>
        <w:jc w:val="both"/>
        <w:rPr>
          <w:sz w:val="28"/>
        </w:rPr>
      </w:pPr>
      <w:r>
        <w:rPr>
          <w:sz w:val="28"/>
        </w:rPr>
        <w:t>Результат</w:t>
      </w:r>
      <w:r>
        <w:rPr>
          <w:sz w:val="28"/>
        </w:rPr>
        <w:t xml:space="preserve">ы расчетов занесите в табл. </w:t>
      </w:r>
      <w:r>
        <w:rPr>
          <w:sz w:val="28"/>
        </w:rPr>
        <w:t xml:space="preserve">1. </w:t>
      </w:r>
    </w:p>
    <w:p w14:paraId="43000000">
      <w:pPr>
        <w:pStyle w:val="Style_3"/>
        <w:numPr>
          <w:ilvl w:val="0"/>
          <w:numId w:val="1"/>
        </w:numPr>
        <w:spacing w:after="0" w:before="0" w:line="360" w:lineRule="auto"/>
        <w:ind w:firstLine="709" w:left="0"/>
        <w:jc w:val="both"/>
        <w:rPr>
          <w:sz w:val="28"/>
        </w:rPr>
      </w:pPr>
      <w:r>
        <w:rPr>
          <w:sz w:val="28"/>
        </w:rPr>
        <w:t xml:space="preserve">Постройте график зависимости освещенности от высоты подвески светильника. </w:t>
      </w:r>
    </w:p>
    <w:p w14:paraId="44000000">
      <w:pPr>
        <w:pStyle w:val="Style_3"/>
        <w:numPr>
          <w:ilvl w:val="0"/>
          <w:numId w:val="1"/>
        </w:numPr>
        <w:spacing w:after="0" w:before="0" w:line="360" w:lineRule="auto"/>
        <w:ind w:firstLine="709" w:left="0"/>
        <w:jc w:val="both"/>
        <w:rPr>
          <w:sz w:val="28"/>
        </w:rPr>
      </w:pPr>
      <w:r>
        <w:rPr>
          <w:sz w:val="28"/>
        </w:rPr>
        <w:t xml:space="preserve">Сделайте выводы. </w:t>
      </w:r>
    </w:p>
    <w:p w14:paraId="45000000">
      <w:pPr>
        <w:pStyle w:val="Style_3"/>
        <w:spacing w:after="180" w:before="240"/>
        <w:ind/>
        <w:jc w:val="center"/>
        <w:rPr>
          <w:sz w:val="14"/>
          <w:u w:val="single"/>
        </w:rPr>
      </w:pPr>
      <w:r>
        <w:rPr>
          <w:sz w:val="28"/>
          <w:u w:val="single"/>
        </w:rPr>
        <w:t>Исследование зависимости освещенности от напряжения в сети</w:t>
      </w:r>
    </w:p>
    <w:p w14:paraId="46000000">
      <w:pPr>
        <w:pStyle w:val="Style_3"/>
        <w:numPr>
          <w:ilvl w:val="0"/>
          <w:numId w:val="2"/>
        </w:numPr>
        <w:spacing w:after="0" w:before="0" w:line="360" w:lineRule="auto"/>
        <w:ind w:firstLine="709" w:left="0"/>
        <w:jc w:val="both"/>
        <w:rPr>
          <w:sz w:val="28"/>
        </w:rPr>
      </w:pPr>
      <w:r>
        <w:rPr>
          <w:sz w:val="28"/>
        </w:rPr>
        <w:t>Включите лабораторную установку регулятором напряжения</w:t>
      </w:r>
      <w:r>
        <w:rPr>
          <w:sz w:val="28"/>
        </w:rPr>
        <w:t xml:space="preserve"> на панели управления 5 (рис. 4</w:t>
      </w:r>
      <w:r>
        <w:rPr>
          <w:sz w:val="28"/>
        </w:rPr>
        <w:t xml:space="preserve">). </w:t>
      </w:r>
    </w:p>
    <w:p w14:paraId="47000000">
      <w:pPr>
        <w:pStyle w:val="Style_3"/>
        <w:numPr>
          <w:ilvl w:val="0"/>
          <w:numId w:val="2"/>
        </w:numPr>
        <w:spacing w:after="0" w:before="0" w:line="360" w:lineRule="auto"/>
        <w:ind w:firstLine="709" w:left="0"/>
        <w:jc w:val="both"/>
        <w:rPr>
          <w:sz w:val="28"/>
        </w:rPr>
      </w:pPr>
      <w:r>
        <w:rPr>
          <w:sz w:val="28"/>
        </w:rPr>
        <w:t xml:space="preserve">Включите ЛП в режим измерения освещенности, начиная с позиции ×1. </w:t>
      </w:r>
    </w:p>
    <w:p w14:paraId="48000000">
      <w:pPr>
        <w:pStyle w:val="Style_3"/>
        <w:numPr>
          <w:ilvl w:val="0"/>
          <w:numId w:val="2"/>
        </w:numPr>
        <w:spacing w:after="0" w:before="0" w:line="360" w:lineRule="auto"/>
        <w:ind w:firstLine="709" w:left="0"/>
        <w:jc w:val="both"/>
        <w:rPr>
          <w:sz w:val="28"/>
        </w:rPr>
      </w:pPr>
      <w:r>
        <w:rPr>
          <w:sz w:val="28"/>
        </w:rPr>
        <w:t xml:space="preserve">Разместите ЛП по центру площадки (3). </w:t>
      </w:r>
    </w:p>
    <w:p w14:paraId="49000000">
      <w:pPr>
        <w:pStyle w:val="Style_3"/>
        <w:numPr>
          <w:ilvl w:val="0"/>
          <w:numId w:val="2"/>
        </w:numPr>
        <w:spacing w:after="0" w:before="0" w:line="360" w:lineRule="auto"/>
        <w:ind w:firstLine="709" w:left="0"/>
        <w:jc w:val="both"/>
        <w:rPr>
          <w:sz w:val="28"/>
        </w:rPr>
      </w:pPr>
      <w:r>
        <w:rPr>
          <w:sz w:val="28"/>
        </w:rPr>
        <w:t xml:space="preserve">Площадку (3) при помощи передвижной втулки установите на отметке, заданной преподавателем (в диапазоне от 0 до 170 см). </w:t>
      </w:r>
    </w:p>
    <w:p w14:paraId="4A000000">
      <w:pPr>
        <w:pStyle w:val="Style_3"/>
        <w:numPr>
          <w:ilvl w:val="0"/>
          <w:numId w:val="2"/>
        </w:numPr>
        <w:spacing w:after="0" w:before="0" w:line="360" w:lineRule="auto"/>
        <w:ind w:firstLine="709" w:left="0"/>
        <w:jc w:val="both"/>
        <w:rPr>
          <w:sz w:val="28"/>
        </w:rPr>
      </w:pPr>
      <w:r>
        <w:rPr>
          <w:sz w:val="28"/>
        </w:rPr>
        <w:t xml:space="preserve">Регулятором напряжения (8) установите напряжение 260 В. </w:t>
      </w:r>
    </w:p>
    <w:p w14:paraId="4B000000">
      <w:pPr>
        <w:pStyle w:val="Style_3"/>
        <w:numPr>
          <w:ilvl w:val="0"/>
          <w:numId w:val="2"/>
        </w:numPr>
        <w:spacing w:after="0" w:before="0" w:line="360" w:lineRule="auto"/>
        <w:ind w:firstLine="709" w:left="0"/>
        <w:jc w:val="both"/>
        <w:rPr>
          <w:sz w:val="28"/>
        </w:rPr>
      </w:pPr>
      <w:r>
        <w:rPr>
          <w:sz w:val="28"/>
        </w:rPr>
        <w:t xml:space="preserve">Включите лампу накаливания выключателем (5). </w:t>
      </w:r>
    </w:p>
    <w:p w14:paraId="4C000000">
      <w:pPr>
        <w:pStyle w:val="Style_3"/>
        <w:numPr>
          <w:ilvl w:val="0"/>
          <w:numId w:val="2"/>
        </w:numPr>
        <w:spacing w:after="0" w:before="0" w:line="360" w:lineRule="auto"/>
        <w:ind w:firstLine="709" w:left="0"/>
        <w:jc w:val="both"/>
        <w:rPr>
          <w:sz w:val="28"/>
        </w:rPr>
      </w:pPr>
      <w:r>
        <w:rPr>
          <w:sz w:val="28"/>
        </w:rPr>
        <w:t>Произведите снятие значения освещенности (если на дисплее прибора высветилось значение «Е»</w:t>
      </w:r>
      <w:r>
        <w:rPr>
          <w:sz w:val="28"/>
        </w:rPr>
        <w:t>,</w:t>
      </w:r>
      <w:r>
        <w:rPr>
          <w:sz w:val="28"/>
        </w:rPr>
        <w:t xml:space="preserve"> необходимо перевести переключатели режимов в положение ×10 или ×100). Результат измерения ос</w:t>
      </w:r>
      <w:r>
        <w:rPr>
          <w:sz w:val="28"/>
        </w:rPr>
        <w:t xml:space="preserve">вещенности занесите в табл. </w:t>
      </w:r>
      <w:r>
        <w:rPr>
          <w:sz w:val="28"/>
        </w:rPr>
        <w:t xml:space="preserve">2. </w:t>
      </w:r>
    </w:p>
    <w:p w14:paraId="4D000000">
      <w:pPr>
        <w:pStyle w:val="Style_3"/>
        <w:numPr>
          <w:ilvl w:val="0"/>
          <w:numId w:val="2"/>
        </w:numPr>
        <w:spacing w:after="0" w:before="0" w:line="360" w:lineRule="auto"/>
        <w:ind w:firstLine="709" w:left="0"/>
        <w:jc w:val="both"/>
        <w:rPr>
          <w:sz w:val="28"/>
        </w:rPr>
      </w:pPr>
      <w:r>
        <w:rPr>
          <w:sz w:val="28"/>
        </w:rPr>
        <w:t>Уменьшая напряжение с интервалом 10 В (260 В, 250 В, 240 В…) поворотом регулятора (8) против часовой стрелки</w:t>
      </w:r>
      <w:r>
        <w:rPr>
          <w:sz w:val="28"/>
        </w:rPr>
        <w:t>,</w:t>
      </w:r>
      <w:r>
        <w:rPr>
          <w:sz w:val="28"/>
        </w:rPr>
        <w:t xml:space="preserve"> произведите измерение освещенности при различных напряжениях. </w:t>
      </w:r>
    </w:p>
    <w:p w14:paraId="4E000000">
      <w:pPr>
        <w:pStyle w:val="Style_3"/>
        <w:numPr>
          <w:ilvl w:val="0"/>
          <w:numId w:val="2"/>
        </w:numPr>
        <w:spacing w:after="0" w:before="0" w:line="360" w:lineRule="auto"/>
        <w:ind w:firstLine="709" w:left="0"/>
        <w:jc w:val="both"/>
        <w:rPr>
          <w:sz w:val="28"/>
        </w:rPr>
      </w:pPr>
      <w:r>
        <w:rPr>
          <w:sz w:val="28"/>
        </w:rPr>
        <w:t xml:space="preserve">Произведите аналогичные измерения при включении люминесцентной лампы. </w:t>
      </w:r>
    </w:p>
    <w:p w14:paraId="4F000000">
      <w:pPr>
        <w:pStyle w:val="Style_3"/>
        <w:numPr>
          <w:ilvl w:val="0"/>
          <w:numId w:val="2"/>
        </w:numPr>
        <w:spacing w:after="0" w:before="0" w:line="360" w:lineRule="auto"/>
        <w:ind w:firstLine="709" w:left="0"/>
        <w:jc w:val="both"/>
        <w:rPr>
          <w:sz w:val="28"/>
        </w:rPr>
      </w:pPr>
      <w:r>
        <w:rPr>
          <w:sz w:val="28"/>
        </w:rPr>
        <w:t>Рассчитайте фактическую освещенность (</w:t>
      </w:r>
      <m:oMathPara>
        <m:oMath>
          <m:sSub>
            <m:e>
              <m:r>
                <w:rPr>
                  <w:rFonts w:ascii="Cambria Math" w:hAnsi="Cambria Math"/>
                  <w:sz w:val="24"/>
                </w:rPr>
                <m:t>E</m:t>
              </m:r>
            </m:e>
            <m:sub>
              <m:r>
                <w:rPr>
                  <w:rFonts w:ascii="Cambria Math" w:hAnsi="Cambria Math"/>
                  <w:sz w:val="24"/>
                </w:rPr>
                <m:rPr>
                  <m:sty m:val="p"/>
                </m:rPr>
                <m:t>факт</m:t>
              </m:r>
            </m:sub>
          </m:sSub>
        </m:oMath>
      </m:oMathPara>
      <w:r>
        <w:rPr>
          <w:sz w:val="28"/>
        </w:rPr>
        <w:t xml:space="preserve">, лк) по формуле: </w:t>
      </w:r>
    </w:p>
    <w:p w14:paraId="50000000">
      <w:pPr>
        <w:pStyle w:val="Style_3"/>
        <w:spacing w:after="180" w:before="180"/>
        <w:ind w:firstLine="709" w:left="0"/>
        <w:jc w:val="both"/>
        <w:rPr>
          <w:sz w:val="28"/>
        </w:rPr>
      </w:pPr>
      <m:oMathPara>
        <m:oMath>
          <m:sSub>
            <m:e>
              <m:r>
                <w:rPr>
                  <w:rFonts w:ascii="Cambria Math" w:hAnsi="Cambria Math"/>
                  <w:sz w:val="24"/>
                </w:rPr>
                <m:t>E</m:t>
              </m:r>
            </m:e>
            <m:sub>
              <m:r>
                <w:rPr>
                  <w:rFonts w:ascii="Cambria Math" w:hAnsi="Cambria Math"/>
                  <w:sz w:val="24"/>
                </w:rPr>
                <m:rPr>
                  <m:sty m:val="p"/>
                </m:rPr>
                <m:t>факт</m:t>
              </m:r>
            </m:sub>
          </m:sSub>
          <m:r>
            <w:rPr>
              <w:rFonts w:ascii="Cambria Math" w:hAnsi="Cambria Math"/>
              <w:sz w:val="24"/>
            </w:rPr>
            <m:t>=</m:t>
          </m:r>
          <m:sSub>
            <m:e>
              <m:r>
                <w:rPr>
                  <w:rFonts w:ascii="Cambria Math" w:hAnsi="Cambria Math"/>
                  <w:sz w:val="24"/>
                </w:rPr>
                <m:t>E</m:t>
              </m:r>
            </m:e>
            <m:sub>
              <m:r>
                <w:rPr>
                  <w:rFonts w:ascii="Cambria Math" w:hAnsi="Cambria Math"/>
                  <w:sz w:val="24"/>
                </w:rPr>
                <m:rPr>
                  <m:sty m:val="p"/>
                </m:rPr>
                <m:t>изм</m:t>
              </m:r>
            </m:sub>
          </m:sSub>
          <m:sSub>
            <m:e>
              <m:r>
                <w:rPr>
                  <w:rFonts w:ascii="Cambria Math" w:hAnsi="Cambria Math"/>
                  <w:sz w:val="24"/>
                </w:rPr>
                <m:t>K</m:t>
              </m:r>
            </m:e>
            <m:sub>
              <m:r>
                <w:rPr>
                  <w:rFonts w:ascii="Cambria Math" w:hAnsi="Cambria Math"/>
                  <w:sz w:val="24"/>
                </w:rPr>
                <m:t>1</m:t>
              </m:r>
            </m:sub>
          </m:sSub>
          <m:sSub>
            <m:e>
              <m:r>
                <w:rPr>
                  <w:rFonts w:ascii="Cambria Math" w:hAnsi="Cambria Math"/>
                  <w:sz w:val="24"/>
                </w:rPr>
                <m:t>K</m:t>
              </m:r>
            </m:e>
            <m:sub>
              <m:r>
                <w:rPr>
                  <w:rFonts w:ascii="Cambria Math" w:hAnsi="Cambria Math"/>
                  <w:sz w:val="24"/>
                </w:rPr>
                <m:t>2</m:t>
              </m:r>
            </m:sub>
          </m:sSub>
        </m:oMath>
      </m:oMathPara>
      <w:r>
        <w:rPr>
          <w:sz w:val="28"/>
        </w:rPr>
        <w:t xml:space="preserve">, </w:t>
      </w:r>
    </w:p>
    <w:p w14:paraId="51000000">
      <w:pPr>
        <w:pStyle w:val="Style_3"/>
        <w:spacing w:after="180" w:before="180"/>
        <w:ind w:firstLine="709" w:left="0"/>
        <w:jc w:val="both"/>
        <w:rPr>
          <w:sz w:val="28"/>
        </w:rPr>
      </w:pPr>
      <w:r>
        <w:rPr>
          <w:sz w:val="28"/>
        </w:rPr>
        <w:t xml:space="preserve">где </w:t>
      </w:r>
      <m:oMathPara>
        <m:oMath>
          <m:sSub>
            <m:e>
              <m:r>
                <w:rPr>
                  <w:rFonts w:ascii="Cambria Math" w:hAnsi="Cambria Math"/>
                  <w:sz w:val="24"/>
                </w:rPr>
                <m:t>E</m:t>
              </m:r>
            </m:e>
            <m:sub>
              <m:r>
                <w:rPr>
                  <w:rFonts w:ascii="Cambria Math" w:hAnsi="Cambria Math"/>
                  <w:sz w:val="24"/>
                </w:rPr>
                <m:rPr>
                  <m:sty m:val="p"/>
                </m:rPr>
                <m:t>изм</m:t>
              </m:r>
            </m:sub>
          </m:sSub>
        </m:oMath>
      </m:oMathPara>
      <w:r>
        <w:rPr>
          <w:sz w:val="28"/>
        </w:rPr>
        <w:t xml:space="preserve"> </w:t>
      </w:r>
      <w:r>
        <w:rPr>
          <w:sz w:val="28"/>
        </w:rPr>
        <w:t xml:space="preserve">– измеренная освещенность по показанию прибора; </w:t>
      </w:r>
    </w:p>
    <w:p w14:paraId="52000000">
      <w:pPr>
        <w:pStyle w:val="Style_3"/>
        <w:spacing w:after="180" w:before="180"/>
        <w:ind w:firstLine="709" w:left="0"/>
        <w:jc w:val="both"/>
        <w:rPr>
          <w:sz w:val="28"/>
        </w:rPr>
      </w:pPr>
      <m:oMathPara>
        <m:oMath>
          <m:sSub>
            <m:e>
              <m:r>
                <w:rPr>
                  <w:rFonts w:ascii="Cambria Math" w:hAnsi="Cambria Math"/>
                  <w:sz w:val="24"/>
                </w:rPr>
                <m:t>K</m:t>
              </m:r>
            </m:e>
            <m:sub>
              <m:r>
                <w:rPr>
                  <w:rFonts w:ascii="Cambria Math" w:hAnsi="Cambria Math"/>
                  <w:sz w:val="24"/>
                </w:rPr>
                <m:t>1</m:t>
              </m:r>
            </m:sub>
          </m:sSub>
        </m:oMath>
      </m:oMathPara>
      <w:r>
        <w:rPr>
          <w:sz w:val="28"/>
        </w:rPr>
        <w:t xml:space="preserve"> </w:t>
      </w:r>
      <w:r>
        <w:rPr>
          <w:sz w:val="28"/>
        </w:rPr>
        <w:t xml:space="preserve">– коэффициент, учитывающий спектр излучения источников света; </w:t>
      </w:r>
    </w:p>
    <w:p w14:paraId="53000000">
      <w:pPr>
        <w:pStyle w:val="Style_3"/>
        <w:spacing w:after="180" w:before="180"/>
        <w:ind w:firstLine="709" w:left="0"/>
        <w:jc w:val="both"/>
        <w:rPr>
          <w:sz w:val="28"/>
        </w:rPr>
      </w:pPr>
      <m:oMathPara>
        <m:oMath>
          <m:sSub>
            <m:e>
              <m:r>
                <w:rPr>
                  <w:rFonts w:ascii="Cambria Math" w:hAnsi="Cambria Math"/>
                  <w:sz w:val="24"/>
                </w:rPr>
                <m:t>K</m:t>
              </m:r>
            </m:e>
            <m:sub>
              <m:r>
                <w:rPr>
                  <w:rFonts w:ascii="Cambria Math" w:hAnsi="Cambria Math"/>
                  <w:sz w:val="24"/>
                </w:rPr>
                <m:t>2</m:t>
              </m:r>
            </m:sub>
          </m:sSub>
        </m:oMath>
      </m:oMathPara>
      <w:r>
        <w:rPr>
          <w:sz w:val="28"/>
        </w:rPr>
        <w:t xml:space="preserve"> </w:t>
      </w:r>
      <w:r>
        <w:rPr>
          <w:sz w:val="28"/>
        </w:rPr>
        <w:t xml:space="preserve">– коэффициент, учитывающий значение напряжения в сети. </w:t>
      </w:r>
    </w:p>
    <w:p w14:paraId="54000000">
      <w:pPr>
        <w:pStyle w:val="Style_3"/>
        <w:numPr>
          <w:ilvl w:val="0"/>
          <w:numId w:val="2"/>
        </w:numPr>
        <w:spacing w:after="180" w:before="180"/>
        <w:ind w:firstLine="709" w:left="0"/>
        <w:jc w:val="both"/>
        <w:rPr>
          <w:sz w:val="28"/>
        </w:rPr>
      </w:pPr>
      <w:r>
        <w:rPr>
          <w:sz w:val="28"/>
        </w:rPr>
        <w:t xml:space="preserve">Рассчитайте световую отдачу используемых ламп по формуле: </w:t>
      </w:r>
    </w:p>
    <w:p w14:paraId="55000000">
      <w:pPr>
        <w:pStyle w:val="Style_3"/>
        <w:spacing w:after="180" w:before="180"/>
        <w:ind w:firstLine="709" w:left="0"/>
        <w:jc w:val="both"/>
        <w:rPr>
          <w:sz w:val="28"/>
        </w:rPr>
      </w:pPr>
      <m:oMathPara>
        <m:oMath>
          <m:r>
            <w:rPr>
              <w:rFonts w:ascii="Cambria Math" w:hAnsi="Cambria Math"/>
              <w:sz w:val="24"/>
            </w:rPr>
            <m:rPr>
              <m:sty m:val="p"/>
            </m:rPr>
            <m:t>CO</m:t>
          </m:r>
          <m:r>
            <w:rPr>
              <w:rFonts w:ascii="Cambria Math" w:hAnsi="Cambria Math"/>
              <w:sz w:val="24"/>
            </w:rPr>
            <m:t>=</m:t>
          </m:r>
          <m:f>
            <m:fPr>
              <m:type m:val="bar"/>
            </m:fPr>
            <m:num>
              <m:r>
                <w:rPr>
                  <w:rFonts w:ascii="Cambria Math" w:hAnsi="Cambria Math"/>
                  <w:sz w:val="24"/>
                </w:rPr>
                <m:rPr>
                  <m:sty m:val="p"/>
                </m:rPr>
                <m:t>3,1</m:t>
              </m:r>
              <m:r>
                <w:rPr>
                  <w:rFonts w:ascii="Cambria Math" w:hAnsi="Cambria Math"/>
                  <w:sz w:val="24"/>
                </w:rPr>
                <m:t>•</m:t>
              </m:r>
              <m:sSub>
                <m:e>
                  <m:r>
                    <w:rPr>
                      <w:rFonts w:ascii="Cambria Math" w:hAnsi="Cambria Math"/>
                      <w:sz w:val="24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  <w:sz w:val="24"/>
                    </w:rPr>
                    <m:rPr>
                      <m:sty m:val="p"/>
                    </m:rPr>
                    <m:t>факт</m:t>
                  </m:r>
                </m:sub>
              </m:sSub>
              <m:sSup>
                <m:e>
                  <m:r>
                    <w:rPr>
                      <w:rFonts w:ascii="Cambria Math" w:hAnsi="Cambria Math"/>
                      <w:sz w:val="24"/>
                    </w:rPr>
                    <m:t>h</m:t>
                  </m:r>
                </m:e>
                <m:sup>
                  <m:r>
                    <w:rPr>
                      <w:rFonts w:ascii="Cambria Math" w:hAnsi="Cambria Math"/>
                      <w:sz w:val="24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  <w:sz w:val="24"/>
                </w:rPr>
                <m:t>p</m:t>
              </m:r>
            </m:den>
          </m:f>
        </m:oMath>
      </m:oMathPara>
      <w:r>
        <w:rPr>
          <w:sz w:val="28"/>
        </w:rPr>
        <w:t xml:space="preserve">, </w:t>
      </w:r>
    </w:p>
    <w:p w14:paraId="56000000">
      <w:pPr>
        <w:pStyle w:val="Style_3"/>
        <w:spacing w:after="180" w:before="180"/>
        <w:ind w:firstLine="709" w:left="0"/>
        <w:jc w:val="both"/>
        <w:rPr>
          <w:sz w:val="28"/>
        </w:rPr>
      </w:pPr>
      <w:r>
        <w:rPr>
          <w:sz w:val="28"/>
        </w:rPr>
        <w:t xml:space="preserve">где </w:t>
      </w:r>
      <m:oMathPara>
        <m:oMath>
          <m:r>
            <w:rPr>
              <w:rFonts w:ascii="Cambria Math" w:hAnsi="Cambria Math"/>
              <w:sz w:val="24"/>
            </w:rPr>
            <m:t>E</m:t>
          </m:r>
        </m:oMath>
      </m:oMathPara>
      <w:r>
        <w:rPr>
          <w:sz w:val="28"/>
        </w:rPr>
        <w:t xml:space="preserve"> </w:t>
      </w:r>
      <w:r>
        <w:rPr>
          <w:sz w:val="28"/>
        </w:rPr>
        <w:t xml:space="preserve">– освещенность, создаваемая данной лампой, лк; </w:t>
      </w:r>
    </w:p>
    <w:p w14:paraId="57000000">
      <w:pPr>
        <w:pStyle w:val="Style_3"/>
        <w:spacing w:after="180" w:before="180"/>
        <w:ind w:firstLine="709" w:left="0"/>
        <w:jc w:val="both"/>
        <w:rPr>
          <w:sz w:val="28"/>
        </w:rPr>
      </w:pPr>
      <m:oMathPara>
        <m:oMath>
          <m:r>
            <w:rPr>
              <w:rFonts w:ascii="Cambria Math" w:hAnsi="Cambria Math"/>
              <w:sz w:val="24"/>
            </w:rPr>
            <m:t>h</m:t>
          </m:r>
        </m:oMath>
      </m:oMathPara>
      <w:r>
        <w:rPr>
          <w:sz w:val="28"/>
        </w:rPr>
        <w:t xml:space="preserve"> </w:t>
      </w:r>
      <w:r>
        <w:rPr>
          <w:sz w:val="28"/>
        </w:rPr>
        <w:t xml:space="preserve">– высота подвеса лампы над поверхностью, м; </w:t>
      </w:r>
    </w:p>
    <w:p w14:paraId="58000000">
      <w:pPr>
        <w:pStyle w:val="Style_3"/>
        <w:spacing w:after="180" w:before="180"/>
        <w:ind w:firstLine="709" w:left="0"/>
        <w:jc w:val="both"/>
        <w:rPr>
          <w:sz w:val="28"/>
        </w:rPr>
      </w:pPr>
      <m:oMathPara>
        <m:oMath>
          <m:r>
            <w:rPr>
              <w:rFonts w:ascii="Cambria Math" w:hAnsi="Cambria Math"/>
              <w:sz w:val="24"/>
            </w:rPr>
            <m:t>p</m:t>
          </m:r>
        </m:oMath>
      </m:oMathPara>
      <w:r>
        <w:rPr>
          <w:sz w:val="28"/>
        </w:rPr>
        <w:t xml:space="preserve"> </w:t>
      </w:r>
      <w:r>
        <w:rPr>
          <w:sz w:val="28"/>
        </w:rPr>
        <w:t xml:space="preserve">– мощность лампы, Вт. </w:t>
      </w:r>
    </w:p>
    <w:p w14:paraId="59000000">
      <w:pPr>
        <w:pStyle w:val="Style_3"/>
        <w:numPr>
          <w:ilvl w:val="0"/>
          <w:numId w:val="2"/>
        </w:numPr>
        <w:spacing w:after="180" w:before="180"/>
        <w:ind w:firstLine="709" w:left="0"/>
        <w:jc w:val="both"/>
        <w:rPr>
          <w:sz w:val="28"/>
        </w:rPr>
      </w:pPr>
      <w:r>
        <w:rPr>
          <w:sz w:val="28"/>
        </w:rPr>
        <w:t xml:space="preserve">Постройте график зависимости замеренной освещенности от напряжения в сети. </w:t>
      </w:r>
    </w:p>
    <w:p w14:paraId="5A000000">
      <w:pPr>
        <w:pStyle w:val="Style_3"/>
        <w:numPr>
          <w:ilvl w:val="0"/>
          <w:numId w:val="2"/>
        </w:numPr>
        <w:spacing w:after="180" w:before="180"/>
        <w:ind w:firstLine="709" w:left="0"/>
        <w:jc w:val="both"/>
        <w:rPr>
          <w:sz w:val="28"/>
        </w:rPr>
      </w:pPr>
      <w:r>
        <w:rPr>
          <w:sz w:val="28"/>
        </w:rPr>
        <w:t>Результат</w:t>
      </w:r>
      <w:r>
        <w:rPr>
          <w:sz w:val="28"/>
        </w:rPr>
        <w:t xml:space="preserve">ы расчетов занесите в табл. </w:t>
      </w:r>
      <w:r>
        <w:rPr>
          <w:sz w:val="28"/>
        </w:rPr>
        <w:t xml:space="preserve">2. </w:t>
      </w:r>
    </w:p>
    <w:p w14:paraId="5B000000">
      <w:pPr>
        <w:pStyle w:val="Style_3"/>
        <w:numPr>
          <w:ilvl w:val="0"/>
          <w:numId w:val="2"/>
        </w:numPr>
        <w:spacing w:after="180" w:before="180"/>
        <w:ind w:firstLine="709" w:left="0"/>
        <w:jc w:val="both"/>
        <w:rPr>
          <w:sz w:val="28"/>
        </w:rPr>
      </w:pPr>
      <w:r>
        <w:rPr>
          <w:sz w:val="28"/>
        </w:rPr>
        <w:t xml:space="preserve">Сделайте выводы. </w:t>
      </w:r>
    </w:p>
    <w:p w14:paraId="5C000000">
      <w:pPr>
        <w:pStyle w:val="Style_3"/>
        <w:spacing w:after="180" w:before="180"/>
        <w:ind/>
        <w:jc w:val="both"/>
        <w:rPr>
          <w:sz w:val="28"/>
        </w:rPr>
      </w:pPr>
    </w:p>
    <w:p w14:paraId="5D000000">
      <w:pPr>
        <w:pStyle w:val="Style_3"/>
        <w:spacing w:after="180" w:before="270"/>
        <w:ind/>
        <w:jc w:val="center"/>
        <w:rPr>
          <w:sz w:val="28"/>
        </w:rPr>
      </w:pPr>
      <w:r>
        <w:rPr>
          <w:b w:val="1"/>
          <w:sz w:val="28"/>
        </w:rPr>
        <w:t>Отчет</w:t>
      </w:r>
    </w:p>
    <w:p w14:paraId="5E000000">
      <w:pPr>
        <w:pStyle w:val="Style_3"/>
        <w:spacing w:after="0" w:before="0" w:line="360" w:lineRule="auto"/>
        <w:ind w:firstLine="709" w:left="0"/>
        <w:jc w:val="both"/>
        <w:rPr>
          <w:sz w:val="28"/>
        </w:rPr>
      </w:pPr>
      <w:r>
        <w:rPr>
          <w:sz w:val="28"/>
        </w:rPr>
        <w:t xml:space="preserve">Название работы: </w:t>
      </w:r>
    </w:p>
    <w:p w14:paraId="5F000000">
      <w:pPr>
        <w:pStyle w:val="Style_3"/>
        <w:spacing w:after="0" w:before="0" w:line="360" w:lineRule="auto"/>
        <w:ind w:firstLine="709" w:left="0"/>
        <w:jc w:val="both"/>
        <w:rPr>
          <w:sz w:val="28"/>
        </w:rPr>
      </w:pPr>
      <w:r>
        <w:rPr>
          <w:sz w:val="28"/>
        </w:rPr>
        <w:t xml:space="preserve">Цель работы: </w:t>
      </w:r>
    </w:p>
    <w:p w14:paraId="60000000">
      <w:pPr>
        <w:pStyle w:val="Style_3"/>
        <w:spacing w:after="0" w:before="0" w:line="360" w:lineRule="auto"/>
        <w:ind w:firstLine="709" w:left="0"/>
        <w:jc w:val="both"/>
        <w:rPr>
          <w:sz w:val="28"/>
        </w:rPr>
      </w:pPr>
    </w:p>
    <w:p w14:paraId="61000000">
      <w:pPr>
        <w:pStyle w:val="Style_3"/>
        <w:numPr>
          <w:ilvl w:val="0"/>
          <w:numId w:val="3"/>
        </w:numPr>
        <w:spacing w:after="0" w:before="0" w:line="360" w:lineRule="auto"/>
        <w:ind w:firstLine="709" w:left="0"/>
        <w:jc w:val="both"/>
        <w:rPr>
          <w:sz w:val="28"/>
        </w:rPr>
      </w:pPr>
      <w:r>
        <w:rPr>
          <w:sz w:val="28"/>
        </w:rPr>
        <w:t xml:space="preserve">Заполненные таблицы </w:t>
      </w:r>
    </w:p>
    <w:p w14:paraId="62000000">
      <w:pPr>
        <w:pStyle w:val="Style_3"/>
        <w:spacing w:after="0" w:before="0" w:line="360" w:lineRule="auto"/>
        <w:ind w:firstLine="709" w:left="0"/>
        <w:jc w:val="both"/>
        <w:rPr>
          <w:sz w:val="28"/>
        </w:rPr>
      </w:pPr>
    </w:p>
    <w:p w14:paraId="63000000">
      <w:pPr>
        <w:pStyle w:val="Style_3"/>
        <w:spacing w:after="0" w:line="360" w:lineRule="auto"/>
        <w:ind w:firstLine="709" w:left="0"/>
        <w:jc w:val="right"/>
        <w:rPr>
          <w:sz w:val="28"/>
        </w:rPr>
      </w:pPr>
      <w:r>
        <w:rPr>
          <w:sz w:val="28"/>
        </w:rPr>
        <w:t xml:space="preserve">Таблица </w:t>
      </w:r>
      <w:r>
        <w:rPr>
          <w:sz w:val="28"/>
        </w:rPr>
        <w:t>1</w:t>
      </w:r>
    </w:p>
    <w:p w14:paraId="64000000">
      <w:pPr>
        <w:pStyle w:val="Style_3"/>
        <w:spacing w:after="0" w:line="360" w:lineRule="auto"/>
        <w:ind w:firstLine="709" w:left="0"/>
        <w:jc w:val="center"/>
        <w:rPr>
          <w:sz w:val="28"/>
        </w:rPr>
      </w:pPr>
      <w:r>
        <w:rPr>
          <w:sz w:val="28"/>
        </w:rPr>
        <w:t xml:space="preserve">Результаты определения освещенности и светоотдачи в зависимости от высоты подвеса светильника при напряжении </w:t>
      </w:r>
      <w:r>
        <w:rPr>
          <w:i w:val="1"/>
          <w:sz w:val="28"/>
        </w:rPr>
        <w:t>U = __ В</w:t>
      </w:r>
    </w:p>
    <w:p w14:paraId="65000000">
      <w:pPr>
        <w:pStyle w:val="Style_3"/>
        <w:spacing w:after="0" w:before="0" w:line="360" w:lineRule="auto"/>
        <w:ind/>
        <w:jc w:val="both"/>
        <w:rPr>
          <w:sz w:val="28"/>
        </w:rPr>
      </w:pPr>
    </w:p>
    <w:tbl>
      <w:tblPr>
        <w:tblStyle w:val="Style_4"/>
        <w:tblLayout w:type="fixed"/>
      </w:tblPr>
      <w:tblGrid>
        <w:gridCol w:w="1769"/>
        <w:gridCol w:w="978"/>
        <w:gridCol w:w="978"/>
        <w:gridCol w:w="1788"/>
        <w:gridCol w:w="978"/>
        <w:gridCol w:w="1076"/>
        <w:gridCol w:w="1788"/>
      </w:tblGrid>
      <w:tr>
        <w:tc>
          <w:tcPr>
            <w:tcW w:type="dxa" w:w="1769"/>
            <w:vMerge w:val="restart"/>
          </w:tcPr>
          <w:p w14:paraId="66000000">
            <w:pPr>
              <w:pStyle w:val="Style_3"/>
              <w:spacing w:after="0" w:before="0" w:line="360" w:lineRule="auto"/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Высота подвеса светильника, </w:t>
            </w:r>
          </w:p>
          <w:p w14:paraId="67000000">
            <w:pPr>
              <w:pStyle w:val="Style_3"/>
              <w:spacing w:after="0" w:before="0" w:line="360" w:lineRule="auto"/>
              <w:ind/>
              <w:jc w:val="both"/>
              <w:rPr>
                <w:sz w:val="28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</w:rPr>
                  <m:t>h</m:t>
                </m:r>
              </m:oMath>
            </m:oMathPara>
            <w:r>
              <w:rPr>
                <w:sz w:val="28"/>
              </w:rPr>
              <w:t xml:space="preserve">, см </w:t>
            </w:r>
          </w:p>
        </w:tc>
        <w:tc>
          <w:tcPr>
            <w:tcW w:type="dxa" w:w="3744"/>
            <w:gridSpan w:val="3"/>
          </w:tcPr>
          <w:p w14:paraId="68000000">
            <w:pPr>
              <w:pStyle w:val="Style_3"/>
              <w:spacing w:after="0" w:before="0" w:line="360" w:lineRule="auto"/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Лампа накаливания </w:t>
            </w:r>
          </w:p>
        </w:tc>
        <w:tc>
          <w:tcPr>
            <w:tcW w:type="dxa" w:w="3842"/>
            <w:gridSpan w:val="3"/>
          </w:tcPr>
          <w:p w14:paraId="69000000">
            <w:pPr>
              <w:pStyle w:val="Style_3"/>
              <w:spacing w:after="0" w:before="0" w:line="360" w:lineRule="auto"/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Люминесцентная лампа </w:t>
            </w:r>
          </w:p>
        </w:tc>
      </w:tr>
      <w:tr>
        <w:tc>
          <w:tcPr>
            <w:tcW w:type="dxa" w:w="1769"/>
            <w:gridSpan w:val="1"/>
            <w:vMerge w:val="continue"/>
          </w:tcPr>
          <w:p/>
        </w:tc>
        <w:tc>
          <w:tcPr>
            <w:tcW w:type="dxa" w:w="1956"/>
            <w:gridSpan w:val="2"/>
          </w:tcPr>
          <w:p w14:paraId="6A000000">
            <w:pPr>
              <w:pStyle w:val="Style_3"/>
              <w:spacing w:after="0" w:before="0" w:line="360" w:lineRule="auto"/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Освещенность </w:t>
            </w:r>
          </w:p>
        </w:tc>
        <w:tc>
          <w:tcPr>
            <w:tcW w:type="dxa" w:w="1788"/>
            <w:vMerge w:val="restart"/>
          </w:tcPr>
          <w:p w14:paraId="6B000000">
            <w:pPr>
              <w:pStyle w:val="Style_3"/>
              <w:spacing w:after="0" w:before="0" w:line="360" w:lineRule="auto"/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Светоотдача, лм/Вт </w:t>
            </w:r>
          </w:p>
        </w:tc>
        <w:tc>
          <w:tcPr>
            <w:tcW w:type="dxa" w:w="2054"/>
            <w:gridSpan w:val="2"/>
          </w:tcPr>
          <w:p w14:paraId="6C000000">
            <w:pPr>
              <w:pStyle w:val="Style_3"/>
              <w:spacing w:after="0" w:before="0" w:line="360" w:lineRule="auto"/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Освещенность </w:t>
            </w:r>
          </w:p>
        </w:tc>
        <w:tc>
          <w:tcPr>
            <w:tcW w:type="dxa" w:w="1788"/>
            <w:vMerge w:val="restart"/>
          </w:tcPr>
          <w:p w14:paraId="6D000000">
            <w:pPr>
              <w:pStyle w:val="Style_3"/>
              <w:spacing w:after="0" w:before="0" w:line="360" w:lineRule="auto"/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Светоотдача, лм/Вт </w:t>
            </w:r>
          </w:p>
        </w:tc>
      </w:tr>
      <w:tr>
        <w:tc>
          <w:tcPr>
            <w:tcW w:type="dxa" w:w="1769"/>
            <w:gridSpan w:val="1"/>
            <w:vMerge w:val="continue"/>
          </w:tcPr>
          <w:p/>
        </w:tc>
        <w:tc>
          <w:tcPr>
            <w:tcW w:type="dxa" w:w="978"/>
          </w:tcPr>
          <w:p w14:paraId="6E000000">
            <w:pPr>
              <w:pStyle w:val="Style_3"/>
              <w:spacing w:after="0" w:before="0" w:line="360" w:lineRule="auto"/>
              <w:ind/>
              <w:jc w:val="both"/>
              <w:rPr>
                <w:sz w:val="28"/>
              </w:rPr>
            </w:pPr>
            <m:oMathPara>
              <m:oMath>
                <m:sSub>
                  <m:e>
                    <m:r>
                      <w:rPr>
                        <w:rFonts w:ascii="Cambria Math" w:hAnsi="Cambria Math"/>
                        <w:sz w:val="24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</w:rPr>
                      <m:rPr>
                        <m:sty m:val="p"/>
                      </m:rPr>
                      <m:t>изм</m:t>
                    </m:r>
                  </m:sub>
                </m:sSub>
              </m:oMath>
            </m:oMathPara>
            <w:r>
              <w:rPr>
                <w:sz w:val="28"/>
              </w:rPr>
              <w:t xml:space="preserve">, лк </w:t>
            </w:r>
          </w:p>
        </w:tc>
        <w:tc>
          <w:tcPr>
            <w:tcW w:type="dxa" w:w="978"/>
          </w:tcPr>
          <w:p w14:paraId="6F000000">
            <w:pPr>
              <w:pStyle w:val="Style_3"/>
              <w:spacing w:after="0" w:before="0" w:line="360" w:lineRule="auto"/>
              <w:ind/>
              <w:jc w:val="both"/>
              <w:rPr>
                <w:sz w:val="28"/>
              </w:rPr>
            </w:pPr>
            <m:oMathPara>
              <m:oMath>
                <m:sSub>
                  <m:e>
                    <m:r>
                      <w:rPr>
                        <w:rFonts w:ascii="Cambria Math" w:hAnsi="Cambria Math"/>
                        <w:sz w:val="24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</w:rPr>
                      <m:rPr>
                        <m:sty m:val="p"/>
                      </m:rPr>
                      <m:t>факт</m:t>
                    </m:r>
                  </m:sub>
                </m:sSub>
              </m:oMath>
            </m:oMathPara>
            <w:r>
              <w:rPr>
                <w:sz w:val="28"/>
              </w:rPr>
              <w:t xml:space="preserve">, лк </w:t>
            </w:r>
          </w:p>
        </w:tc>
        <w:tc>
          <w:tcPr>
            <w:tcW w:type="dxa" w:w="1788"/>
            <w:gridSpan w:val="1"/>
            <w:vMerge w:val="continue"/>
          </w:tcPr>
          <w:p/>
        </w:tc>
        <w:tc>
          <w:tcPr>
            <w:tcW w:type="dxa" w:w="978"/>
          </w:tcPr>
          <w:p w14:paraId="70000000">
            <w:pPr>
              <w:pStyle w:val="Style_3"/>
              <w:spacing w:after="0" w:before="0" w:line="360" w:lineRule="auto"/>
              <w:ind/>
              <w:jc w:val="both"/>
              <w:rPr>
                <w:sz w:val="28"/>
              </w:rPr>
            </w:pPr>
            <m:oMathPara>
              <m:oMath>
                <m:sSub>
                  <m:e>
                    <m:r>
                      <w:rPr>
                        <w:rFonts w:ascii="Cambria Math" w:hAnsi="Cambria Math"/>
                        <w:sz w:val="24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</w:rPr>
                      <m:rPr>
                        <m:sty m:val="p"/>
                      </m:rPr>
                      <m:t>изм</m:t>
                    </m:r>
                  </m:sub>
                </m:sSub>
              </m:oMath>
            </m:oMathPara>
            <w:r>
              <w:rPr>
                <w:sz w:val="28"/>
              </w:rPr>
              <w:t xml:space="preserve">,, лк </w:t>
            </w:r>
          </w:p>
        </w:tc>
        <w:tc>
          <w:tcPr>
            <w:tcW w:type="dxa" w:w="1076"/>
          </w:tcPr>
          <w:p w14:paraId="71000000">
            <w:pPr>
              <w:pStyle w:val="Style_3"/>
              <w:spacing w:after="0" w:before="0" w:line="360" w:lineRule="auto"/>
              <w:ind/>
              <w:jc w:val="both"/>
              <w:rPr>
                <w:sz w:val="28"/>
              </w:rPr>
            </w:pPr>
            <m:oMathPara>
              <m:oMath>
                <m:sSub>
                  <m:e>
                    <m:r>
                      <w:rPr>
                        <w:rFonts w:ascii="Cambria Math" w:hAnsi="Cambria Math"/>
                        <w:sz w:val="24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</w:rPr>
                      <m:rPr>
                        <m:sty m:val="p"/>
                      </m:rPr>
                      <m:t>факт</m:t>
                    </m:r>
                  </m:sub>
                </m:sSub>
              </m:oMath>
            </m:oMathPara>
            <w:r>
              <w:rPr>
                <w:sz w:val="28"/>
              </w:rPr>
              <w:t xml:space="preserve">, лк </w:t>
            </w:r>
          </w:p>
        </w:tc>
        <w:tc>
          <w:tcPr>
            <w:tcW w:type="dxa" w:w="1788"/>
            <w:gridSpan w:val="1"/>
            <w:vMerge w:val="continue"/>
          </w:tcPr>
          <w:p/>
        </w:tc>
      </w:tr>
      <w:tr>
        <w:tc>
          <w:tcPr>
            <w:tcW w:type="dxa" w:w="1769"/>
          </w:tcPr>
          <w:p w14:paraId="72000000">
            <w:pPr>
              <w:pStyle w:val="Style_3"/>
              <w:spacing w:after="0" w:before="0" w:line="360" w:lineRule="auto"/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  </w:t>
            </w:r>
          </w:p>
        </w:tc>
        <w:tc>
          <w:tcPr>
            <w:tcW w:type="dxa" w:w="978"/>
          </w:tcPr>
          <w:p w14:paraId="73000000">
            <w:pPr>
              <w:pStyle w:val="Style_3"/>
              <w:spacing w:after="0" w:before="0" w:line="360" w:lineRule="auto"/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  </w:t>
            </w:r>
          </w:p>
        </w:tc>
        <w:tc>
          <w:tcPr>
            <w:tcW w:type="dxa" w:w="978"/>
          </w:tcPr>
          <w:p w14:paraId="74000000">
            <w:pPr>
              <w:pStyle w:val="Style_3"/>
              <w:spacing w:after="0" w:before="0" w:line="360" w:lineRule="auto"/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  </w:t>
            </w:r>
          </w:p>
        </w:tc>
        <w:tc>
          <w:tcPr>
            <w:tcW w:type="dxa" w:w="1788"/>
          </w:tcPr>
          <w:p w14:paraId="75000000">
            <w:pPr>
              <w:pStyle w:val="Style_3"/>
              <w:spacing w:after="0" w:before="0" w:line="360" w:lineRule="auto"/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  </w:t>
            </w:r>
          </w:p>
        </w:tc>
        <w:tc>
          <w:tcPr>
            <w:tcW w:type="dxa" w:w="978"/>
          </w:tcPr>
          <w:p w14:paraId="76000000">
            <w:pPr>
              <w:pStyle w:val="Style_3"/>
              <w:spacing w:after="0" w:before="0" w:line="360" w:lineRule="auto"/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  </w:t>
            </w:r>
          </w:p>
        </w:tc>
        <w:tc>
          <w:tcPr>
            <w:tcW w:type="dxa" w:w="1076"/>
          </w:tcPr>
          <w:p w14:paraId="77000000">
            <w:pPr>
              <w:pStyle w:val="Style_3"/>
              <w:spacing w:after="0" w:before="0" w:line="360" w:lineRule="auto"/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  </w:t>
            </w:r>
          </w:p>
        </w:tc>
        <w:tc>
          <w:tcPr>
            <w:tcW w:type="dxa" w:w="1788"/>
          </w:tcPr>
          <w:p w14:paraId="78000000">
            <w:pPr>
              <w:pStyle w:val="Style_3"/>
              <w:spacing w:after="0" w:before="0" w:line="360" w:lineRule="auto"/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  </w:t>
            </w:r>
          </w:p>
        </w:tc>
      </w:tr>
      <w:tr>
        <w:tc>
          <w:tcPr>
            <w:tcW w:type="dxa" w:w="1769"/>
          </w:tcPr>
          <w:p w14:paraId="79000000">
            <w:pPr>
              <w:pStyle w:val="Style_3"/>
              <w:spacing w:after="0" w:before="0" w:line="360" w:lineRule="auto"/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  </w:t>
            </w:r>
          </w:p>
        </w:tc>
        <w:tc>
          <w:tcPr>
            <w:tcW w:type="dxa" w:w="978"/>
          </w:tcPr>
          <w:p w14:paraId="7A000000">
            <w:pPr>
              <w:pStyle w:val="Style_3"/>
              <w:spacing w:after="0" w:before="0" w:line="360" w:lineRule="auto"/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  </w:t>
            </w:r>
          </w:p>
        </w:tc>
        <w:tc>
          <w:tcPr>
            <w:tcW w:type="dxa" w:w="978"/>
          </w:tcPr>
          <w:p w14:paraId="7B000000">
            <w:pPr>
              <w:pStyle w:val="Style_3"/>
              <w:spacing w:after="0" w:before="0" w:line="360" w:lineRule="auto"/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  </w:t>
            </w:r>
          </w:p>
        </w:tc>
        <w:tc>
          <w:tcPr>
            <w:tcW w:type="dxa" w:w="1788"/>
          </w:tcPr>
          <w:p w14:paraId="7C000000">
            <w:pPr>
              <w:pStyle w:val="Style_3"/>
              <w:spacing w:after="0" w:before="0" w:line="360" w:lineRule="auto"/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  </w:t>
            </w:r>
          </w:p>
        </w:tc>
        <w:tc>
          <w:tcPr>
            <w:tcW w:type="dxa" w:w="978"/>
          </w:tcPr>
          <w:p w14:paraId="7D000000">
            <w:pPr>
              <w:pStyle w:val="Style_3"/>
              <w:spacing w:after="0" w:before="0" w:line="360" w:lineRule="auto"/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  </w:t>
            </w:r>
          </w:p>
        </w:tc>
        <w:tc>
          <w:tcPr>
            <w:tcW w:type="dxa" w:w="1076"/>
          </w:tcPr>
          <w:p w14:paraId="7E000000">
            <w:pPr>
              <w:pStyle w:val="Style_3"/>
              <w:spacing w:after="0" w:before="0" w:line="360" w:lineRule="auto"/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  </w:t>
            </w:r>
          </w:p>
        </w:tc>
        <w:tc>
          <w:tcPr>
            <w:tcW w:type="dxa" w:w="1788"/>
          </w:tcPr>
          <w:p w14:paraId="7F000000">
            <w:pPr>
              <w:pStyle w:val="Style_3"/>
              <w:spacing w:after="0" w:before="0" w:line="360" w:lineRule="auto"/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  </w:t>
            </w:r>
          </w:p>
        </w:tc>
      </w:tr>
    </w:tbl>
    <w:p w14:paraId="80000000">
      <w:pPr>
        <w:pStyle w:val="Style_3"/>
        <w:spacing w:after="0" w:before="0" w:line="360" w:lineRule="auto"/>
        <w:ind/>
        <w:jc w:val="both"/>
        <w:rPr>
          <w:sz w:val="28"/>
        </w:rPr>
      </w:pPr>
      <w:r>
        <w:rPr>
          <w:sz w:val="28"/>
        </w:rPr>
        <w:t xml:space="preserve">  </w:t>
      </w:r>
    </w:p>
    <w:p w14:paraId="81000000">
      <w:pPr>
        <w:rPr>
          <w:rFonts w:ascii="Times New Roman" w:hAnsi="Times New Roman"/>
        </w:rPr>
      </w:pPr>
      <w:r>
        <w:br w:type="page"/>
      </w:r>
    </w:p>
    <w:p w14:paraId="82000000">
      <w:pPr>
        <w:pStyle w:val="Style_3"/>
        <w:spacing w:after="0" w:line="360" w:lineRule="auto"/>
        <w:ind w:firstLine="709" w:left="0"/>
        <w:jc w:val="right"/>
        <w:rPr>
          <w:sz w:val="28"/>
        </w:rPr>
      </w:pPr>
      <w:r>
        <w:rPr>
          <w:sz w:val="28"/>
        </w:rPr>
        <w:t xml:space="preserve">Таблица </w:t>
      </w:r>
      <w:r>
        <w:rPr>
          <w:sz w:val="28"/>
        </w:rPr>
        <w:t>2</w:t>
      </w:r>
    </w:p>
    <w:p w14:paraId="83000000">
      <w:pPr>
        <w:pStyle w:val="Style_3"/>
        <w:spacing w:after="0" w:line="360" w:lineRule="auto"/>
        <w:ind w:firstLine="709" w:left="0"/>
        <w:jc w:val="center"/>
        <w:rPr>
          <w:sz w:val="28"/>
        </w:rPr>
      </w:pPr>
      <w:r>
        <w:rPr>
          <w:sz w:val="28"/>
        </w:rPr>
        <w:t xml:space="preserve">Результаты определения освещенности в зависимости от напряжения в сети при расположении светильника на высоте </w:t>
      </w:r>
      <w:r>
        <w:rPr>
          <w:i w:val="1"/>
          <w:sz w:val="28"/>
        </w:rPr>
        <w:t>h</w:t>
      </w:r>
      <w:r>
        <w:rPr>
          <w:sz w:val="28"/>
        </w:rPr>
        <w:t xml:space="preserve"> = __ см</w:t>
      </w:r>
    </w:p>
    <w:p w14:paraId="84000000">
      <w:pPr>
        <w:pStyle w:val="Style_3"/>
        <w:spacing w:after="0" w:before="0" w:line="360" w:lineRule="auto"/>
        <w:ind/>
        <w:jc w:val="both"/>
        <w:rPr>
          <w:sz w:val="28"/>
        </w:rPr>
      </w:pPr>
    </w:p>
    <w:tbl>
      <w:tblPr>
        <w:tblStyle w:val="Style_4"/>
        <w:tblLayout w:type="fixed"/>
      </w:tblPr>
      <w:tblGrid>
        <w:gridCol w:w="1775"/>
        <w:gridCol w:w="978"/>
        <w:gridCol w:w="978"/>
        <w:gridCol w:w="1788"/>
        <w:gridCol w:w="978"/>
        <w:gridCol w:w="1070"/>
        <w:gridCol w:w="1788"/>
      </w:tblGrid>
      <w:tr>
        <w:tc>
          <w:tcPr>
            <w:tcW w:type="dxa" w:w="1775"/>
            <w:vMerge w:val="restart"/>
          </w:tcPr>
          <w:p w14:paraId="85000000">
            <w:pPr>
              <w:pStyle w:val="Style_3"/>
              <w:spacing w:after="0" w:before="0" w:line="360" w:lineRule="auto"/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Напряжение, </w:t>
            </w:r>
          </w:p>
          <w:p w14:paraId="86000000">
            <w:pPr>
              <w:pStyle w:val="Style_3"/>
              <w:spacing w:after="0" w:before="0" w:line="360" w:lineRule="auto"/>
              <w:ind/>
              <w:jc w:val="both"/>
              <w:rPr>
                <w:sz w:val="28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</w:rPr>
                  <m:t>U</m:t>
                </m:r>
              </m:oMath>
            </m:oMathPara>
            <w:r>
              <w:rPr>
                <w:sz w:val="28"/>
              </w:rPr>
              <w:t xml:space="preserve">, В </w:t>
            </w:r>
          </w:p>
        </w:tc>
        <w:tc>
          <w:tcPr>
            <w:tcW w:type="dxa" w:w="3744"/>
            <w:gridSpan w:val="3"/>
          </w:tcPr>
          <w:p w14:paraId="87000000">
            <w:pPr>
              <w:pStyle w:val="Style_3"/>
              <w:spacing w:after="0" w:before="0" w:line="360" w:lineRule="auto"/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Лампа накаливания </w:t>
            </w:r>
          </w:p>
        </w:tc>
        <w:tc>
          <w:tcPr>
            <w:tcW w:type="dxa" w:w="3836"/>
            <w:gridSpan w:val="3"/>
          </w:tcPr>
          <w:p w14:paraId="88000000">
            <w:pPr>
              <w:pStyle w:val="Style_3"/>
              <w:spacing w:after="0" w:before="0" w:line="360" w:lineRule="auto"/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Люминесцентная лампа </w:t>
            </w:r>
          </w:p>
        </w:tc>
      </w:tr>
      <w:tr>
        <w:tc>
          <w:tcPr>
            <w:tcW w:type="dxa" w:w="1775"/>
            <w:gridSpan w:val="1"/>
            <w:vMerge w:val="continue"/>
          </w:tcPr>
          <w:p/>
        </w:tc>
        <w:tc>
          <w:tcPr>
            <w:tcW w:type="dxa" w:w="1956"/>
            <w:gridSpan w:val="2"/>
          </w:tcPr>
          <w:p w14:paraId="89000000">
            <w:pPr>
              <w:pStyle w:val="Style_3"/>
              <w:spacing w:after="0" w:before="0" w:line="360" w:lineRule="auto"/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Освещенность </w:t>
            </w:r>
          </w:p>
        </w:tc>
        <w:tc>
          <w:tcPr>
            <w:tcW w:type="dxa" w:w="1788"/>
            <w:vMerge w:val="restart"/>
          </w:tcPr>
          <w:p w14:paraId="8A000000">
            <w:pPr>
              <w:pStyle w:val="Style_3"/>
              <w:spacing w:after="0" w:before="0" w:line="360" w:lineRule="auto"/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Светоотдача, лм/Вт </w:t>
            </w:r>
          </w:p>
        </w:tc>
        <w:tc>
          <w:tcPr>
            <w:tcW w:type="dxa" w:w="2048"/>
            <w:gridSpan w:val="2"/>
          </w:tcPr>
          <w:p w14:paraId="8B000000">
            <w:pPr>
              <w:pStyle w:val="Style_3"/>
              <w:spacing w:after="0" w:before="0" w:line="360" w:lineRule="auto"/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Освещенность </w:t>
            </w:r>
          </w:p>
        </w:tc>
        <w:tc>
          <w:tcPr>
            <w:tcW w:type="dxa" w:w="1788"/>
            <w:vMerge w:val="restart"/>
          </w:tcPr>
          <w:p w14:paraId="8C000000">
            <w:pPr>
              <w:pStyle w:val="Style_3"/>
              <w:spacing w:after="0" w:before="0" w:line="360" w:lineRule="auto"/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Светоотдача, лм/Вт </w:t>
            </w:r>
          </w:p>
        </w:tc>
      </w:tr>
      <w:tr>
        <w:tc>
          <w:tcPr>
            <w:tcW w:type="dxa" w:w="1775"/>
            <w:gridSpan w:val="1"/>
            <w:vMerge w:val="continue"/>
          </w:tcPr>
          <w:p/>
        </w:tc>
        <w:tc>
          <w:tcPr>
            <w:tcW w:type="dxa" w:w="978"/>
          </w:tcPr>
          <w:p w14:paraId="8D000000">
            <w:pPr>
              <w:pStyle w:val="Style_3"/>
              <w:spacing w:after="0" w:before="0" w:line="360" w:lineRule="auto"/>
              <w:ind/>
              <w:jc w:val="both"/>
              <w:rPr>
                <w:sz w:val="28"/>
              </w:rPr>
            </w:pPr>
            <m:oMathPara>
              <m:oMath>
                <m:sSub>
                  <m:e>
                    <m:r>
                      <w:rPr>
                        <w:rFonts w:ascii="Cambria Math" w:hAnsi="Cambria Math"/>
                        <w:sz w:val="24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</w:rPr>
                      <m:rPr>
                        <m:sty m:val="p"/>
                      </m:rPr>
                      <m:t>изм</m:t>
                    </m:r>
                  </m:sub>
                </m:sSub>
              </m:oMath>
            </m:oMathPara>
            <w:r>
              <w:rPr>
                <w:sz w:val="28"/>
              </w:rPr>
              <w:t xml:space="preserve">, лк </w:t>
            </w:r>
          </w:p>
        </w:tc>
        <w:tc>
          <w:tcPr>
            <w:tcW w:type="dxa" w:w="978"/>
          </w:tcPr>
          <w:p w14:paraId="8E000000">
            <w:pPr>
              <w:pStyle w:val="Style_3"/>
              <w:spacing w:after="0" w:before="0" w:line="360" w:lineRule="auto"/>
              <w:ind/>
              <w:jc w:val="both"/>
              <w:rPr>
                <w:sz w:val="28"/>
              </w:rPr>
            </w:pPr>
            <m:oMathPara>
              <m:oMath>
                <m:sSub>
                  <m:e>
                    <m:r>
                      <w:rPr>
                        <w:rFonts w:ascii="Cambria Math" w:hAnsi="Cambria Math"/>
                        <w:sz w:val="24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</w:rPr>
                      <m:rPr>
                        <m:sty m:val="p"/>
                      </m:rPr>
                      <m:t>факт</m:t>
                    </m:r>
                  </m:sub>
                </m:sSub>
              </m:oMath>
            </m:oMathPara>
            <w:r>
              <w:rPr>
                <w:sz w:val="28"/>
              </w:rPr>
              <w:t xml:space="preserve">, лк </w:t>
            </w:r>
          </w:p>
        </w:tc>
        <w:tc>
          <w:tcPr>
            <w:tcW w:type="dxa" w:w="1788"/>
            <w:gridSpan w:val="1"/>
            <w:vMerge w:val="continue"/>
          </w:tcPr>
          <w:p/>
        </w:tc>
        <w:tc>
          <w:tcPr>
            <w:tcW w:type="dxa" w:w="978"/>
          </w:tcPr>
          <w:p w14:paraId="8F000000">
            <w:pPr>
              <w:pStyle w:val="Style_3"/>
              <w:spacing w:after="0" w:before="0" w:line="360" w:lineRule="auto"/>
              <w:ind/>
              <w:jc w:val="both"/>
              <w:rPr>
                <w:sz w:val="28"/>
              </w:rPr>
            </w:pPr>
            <m:oMathPara>
              <m:oMath>
                <m:sSub>
                  <m:e>
                    <m:r>
                      <w:rPr>
                        <w:rFonts w:ascii="Cambria Math" w:hAnsi="Cambria Math"/>
                        <w:sz w:val="24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</w:rPr>
                      <m:rPr>
                        <m:sty m:val="p"/>
                      </m:rPr>
                      <m:t>изм</m:t>
                    </m:r>
                  </m:sub>
                </m:sSub>
              </m:oMath>
            </m:oMathPara>
            <w:r>
              <w:rPr>
                <w:sz w:val="28"/>
              </w:rPr>
              <w:t xml:space="preserve">, лк </w:t>
            </w:r>
          </w:p>
        </w:tc>
        <w:tc>
          <w:tcPr>
            <w:tcW w:type="dxa" w:w="1070"/>
          </w:tcPr>
          <w:p w14:paraId="90000000">
            <w:pPr>
              <w:pStyle w:val="Style_3"/>
              <w:spacing w:after="0" w:before="0" w:line="360" w:lineRule="auto"/>
              <w:ind/>
              <w:jc w:val="both"/>
              <w:rPr>
                <w:sz w:val="28"/>
              </w:rPr>
            </w:pPr>
            <m:oMathPara>
              <m:oMath>
                <m:sSub>
                  <m:e>
                    <m:r>
                      <w:rPr>
                        <w:rFonts w:ascii="Cambria Math" w:hAnsi="Cambria Math"/>
                        <w:sz w:val="24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</w:rPr>
                      <m:rPr>
                        <m:sty m:val="p"/>
                      </m:rPr>
                      <m:t>факт</m:t>
                    </m:r>
                  </m:sub>
                </m:sSub>
              </m:oMath>
            </m:oMathPara>
            <w:r>
              <w:rPr>
                <w:sz w:val="28"/>
              </w:rPr>
              <w:t xml:space="preserve">, лк </w:t>
            </w:r>
          </w:p>
        </w:tc>
        <w:tc>
          <w:tcPr>
            <w:tcW w:type="dxa" w:w="1788"/>
            <w:gridSpan w:val="1"/>
            <w:vMerge w:val="continue"/>
          </w:tcPr>
          <w:p/>
        </w:tc>
      </w:tr>
      <w:tr>
        <w:tc>
          <w:tcPr>
            <w:tcW w:type="dxa" w:w="1775"/>
          </w:tcPr>
          <w:p w14:paraId="91000000">
            <w:pPr>
              <w:pStyle w:val="Style_3"/>
              <w:spacing w:after="0" w:before="0" w:line="360" w:lineRule="auto"/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  </w:t>
            </w:r>
          </w:p>
        </w:tc>
        <w:tc>
          <w:tcPr>
            <w:tcW w:type="dxa" w:w="978"/>
          </w:tcPr>
          <w:p w14:paraId="92000000">
            <w:pPr>
              <w:pStyle w:val="Style_3"/>
              <w:spacing w:after="0" w:before="0" w:line="360" w:lineRule="auto"/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  </w:t>
            </w:r>
          </w:p>
        </w:tc>
        <w:tc>
          <w:tcPr>
            <w:tcW w:type="dxa" w:w="978"/>
          </w:tcPr>
          <w:p w14:paraId="93000000">
            <w:pPr>
              <w:pStyle w:val="Style_3"/>
              <w:spacing w:after="0" w:before="0" w:line="360" w:lineRule="auto"/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  </w:t>
            </w:r>
          </w:p>
        </w:tc>
        <w:tc>
          <w:tcPr>
            <w:tcW w:type="dxa" w:w="1788"/>
          </w:tcPr>
          <w:p w14:paraId="94000000">
            <w:pPr>
              <w:pStyle w:val="Style_3"/>
              <w:spacing w:after="0" w:before="0" w:line="360" w:lineRule="auto"/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  </w:t>
            </w:r>
          </w:p>
        </w:tc>
        <w:tc>
          <w:tcPr>
            <w:tcW w:type="dxa" w:w="978"/>
          </w:tcPr>
          <w:p w14:paraId="95000000">
            <w:pPr>
              <w:pStyle w:val="Style_3"/>
              <w:spacing w:after="0" w:before="0" w:line="360" w:lineRule="auto"/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  </w:t>
            </w:r>
          </w:p>
        </w:tc>
        <w:tc>
          <w:tcPr>
            <w:tcW w:type="dxa" w:w="1070"/>
          </w:tcPr>
          <w:p w14:paraId="96000000">
            <w:pPr>
              <w:pStyle w:val="Style_3"/>
              <w:spacing w:after="0" w:before="0" w:line="360" w:lineRule="auto"/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  </w:t>
            </w:r>
          </w:p>
        </w:tc>
        <w:tc>
          <w:tcPr>
            <w:tcW w:type="dxa" w:w="1788"/>
          </w:tcPr>
          <w:p w14:paraId="97000000">
            <w:pPr>
              <w:pStyle w:val="Style_3"/>
              <w:spacing w:after="0" w:before="0" w:line="360" w:lineRule="auto"/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  </w:t>
            </w:r>
          </w:p>
        </w:tc>
      </w:tr>
      <w:tr>
        <w:tc>
          <w:tcPr>
            <w:tcW w:type="dxa" w:w="1775"/>
          </w:tcPr>
          <w:p w14:paraId="98000000">
            <w:pPr>
              <w:pStyle w:val="Style_3"/>
              <w:spacing w:after="0" w:before="0" w:line="360" w:lineRule="auto"/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  </w:t>
            </w:r>
          </w:p>
        </w:tc>
        <w:tc>
          <w:tcPr>
            <w:tcW w:type="dxa" w:w="978"/>
          </w:tcPr>
          <w:p w14:paraId="99000000">
            <w:pPr>
              <w:pStyle w:val="Style_3"/>
              <w:spacing w:after="0" w:before="0" w:line="360" w:lineRule="auto"/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  </w:t>
            </w:r>
          </w:p>
        </w:tc>
        <w:tc>
          <w:tcPr>
            <w:tcW w:type="dxa" w:w="978"/>
          </w:tcPr>
          <w:p w14:paraId="9A000000">
            <w:pPr>
              <w:pStyle w:val="Style_3"/>
              <w:spacing w:after="0" w:before="0" w:line="360" w:lineRule="auto"/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  </w:t>
            </w:r>
          </w:p>
        </w:tc>
        <w:tc>
          <w:tcPr>
            <w:tcW w:type="dxa" w:w="1788"/>
          </w:tcPr>
          <w:p w14:paraId="9B000000">
            <w:pPr>
              <w:pStyle w:val="Style_3"/>
              <w:spacing w:after="0" w:before="0" w:line="360" w:lineRule="auto"/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  </w:t>
            </w:r>
          </w:p>
        </w:tc>
        <w:tc>
          <w:tcPr>
            <w:tcW w:type="dxa" w:w="978"/>
          </w:tcPr>
          <w:p w14:paraId="9C000000">
            <w:pPr>
              <w:pStyle w:val="Style_3"/>
              <w:spacing w:after="0" w:before="0" w:line="360" w:lineRule="auto"/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  </w:t>
            </w:r>
          </w:p>
        </w:tc>
        <w:tc>
          <w:tcPr>
            <w:tcW w:type="dxa" w:w="1070"/>
          </w:tcPr>
          <w:p w14:paraId="9D000000">
            <w:pPr>
              <w:pStyle w:val="Style_3"/>
              <w:spacing w:after="0" w:before="0" w:line="360" w:lineRule="auto"/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  </w:t>
            </w:r>
          </w:p>
        </w:tc>
        <w:tc>
          <w:tcPr>
            <w:tcW w:type="dxa" w:w="1788"/>
          </w:tcPr>
          <w:p w14:paraId="9E000000">
            <w:pPr>
              <w:pStyle w:val="Style_3"/>
              <w:spacing w:after="0" w:before="0" w:line="360" w:lineRule="auto"/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  </w:t>
            </w:r>
          </w:p>
        </w:tc>
      </w:tr>
    </w:tbl>
    <w:p w14:paraId="9F000000">
      <w:pPr>
        <w:pStyle w:val="Style_3"/>
        <w:spacing w:after="0" w:before="0" w:line="360" w:lineRule="auto"/>
        <w:ind/>
        <w:jc w:val="both"/>
        <w:rPr>
          <w:sz w:val="28"/>
        </w:rPr>
      </w:pPr>
      <w:r>
        <w:rPr>
          <w:sz w:val="28"/>
        </w:rPr>
        <w:t xml:space="preserve">  </w:t>
      </w:r>
    </w:p>
    <w:p w14:paraId="A0000000">
      <w:pPr>
        <w:pStyle w:val="Style_3"/>
        <w:spacing w:after="0" w:before="0" w:line="360" w:lineRule="auto"/>
        <w:ind w:firstLine="709" w:left="0"/>
        <w:jc w:val="both"/>
        <w:rPr>
          <w:i w:val="1"/>
          <w:sz w:val="28"/>
        </w:rPr>
      </w:pPr>
      <w:r>
        <w:rPr>
          <w:sz w:val="28"/>
        </w:rPr>
        <w:t xml:space="preserve">2. График зависимости </w:t>
      </w:r>
      <m:oMathPara>
        <m:oMath>
          <m:sSub>
            <m:e>
              <m:r>
                <w:rPr>
                  <w:rFonts w:ascii="Cambria Math" w:hAnsi="Cambria Math"/>
                  <w:sz w:val="24"/>
                </w:rPr>
                <m:t>E</m:t>
              </m:r>
            </m:e>
            <m:sub>
              <m:r>
                <w:rPr>
                  <w:rFonts w:ascii="Cambria Math" w:hAnsi="Cambria Math"/>
                  <w:sz w:val="24"/>
                </w:rPr>
                <m:rPr>
                  <m:sty m:val="p"/>
                </m:rPr>
                <m:t>факт</m:t>
              </m:r>
            </m:sub>
          </m:sSub>
          <m:r>
            <w:rPr>
              <w:rFonts w:ascii="Cambria Math" w:hAnsi="Cambria Math"/>
              <w:sz w:val="24"/>
            </w:rPr>
            <m:t>=f</m:t>
          </m:r>
          <m:d>
            <m:dPr>
              <m:sepChr m:val=","/>
            </m:dPr>
            <m:e>
              <m:r>
                <w:rPr>
                  <w:rFonts w:ascii="Cambria Math" w:hAnsi="Cambria Math"/>
                  <w:sz w:val="24"/>
                </w:rPr>
                <m:t>h</m:t>
              </m:r>
            </m:e>
          </m:d>
        </m:oMath>
      </m:oMathPara>
      <w:r>
        <w:rPr>
          <w:sz w:val="28"/>
        </w:rPr>
        <w:t>.</w:t>
      </w:r>
    </w:p>
    <w:p w14:paraId="A1000000">
      <w:pPr>
        <w:pStyle w:val="Style_3"/>
        <w:spacing w:after="0" w:before="0" w:line="360" w:lineRule="auto"/>
        <w:ind w:firstLine="709" w:left="0"/>
        <w:jc w:val="both"/>
        <w:rPr>
          <w:sz w:val="28"/>
        </w:rPr>
      </w:pPr>
      <w:r>
        <w:rPr>
          <w:sz w:val="28"/>
        </w:rPr>
        <w:t xml:space="preserve">3. График зависимости </w:t>
      </w:r>
      <m:oMathPara>
        <m:oMath>
          <m:sSub>
            <m:e>
              <m:r>
                <w:rPr>
                  <w:rFonts w:ascii="Cambria Math" w:hAnsi="Cambria Math"/>
                  <w:sz w:val="24"/>
                </w:rPr>
                <m:t>E</m:t>
              </m:r>
            </m:e>
            <m:sub>
              <m:r>
                <w:rPr>
                  <w:rFonts w:ascii="Cambria Math" w:hAnsi="Cambria Math"/>
                  <w:sz w:val="24"/>
                </w:rPr>
                <m:rPr>
                  <m:sty m:val="p"/>
                </m:rPr>
                <m:t>факт</m:t>
              </m:r>
            </m:sub>
          </m:sSub>
          <m:r>
            <w:rPr>
              <w:rFonts w:ascii="Cambria Math" w:hAnsi="Cambria Math"/>
              <w:sz w:val="24"/>
            </w:rPr>
            <m:t>=f</m:t>
          </m:r>
          <m:d>
            <m:dPr>
              <m:sepChr m:val=","/>
            </m:dPr>
            <m:e>
              <m:r>
                <w:rPr>
                  <w:rFonts w:ascii="Cambria Math" w:hAnsi="Cambria Math"/>
                  <w:sz w:val="24"/>
                </w:rPr>
                <m:t>U</m:t>
              </m:r>
            </m:e>
          </m:d>
        </m:oMath>
      </m:oMathPara>
      <w:r>
        <w:rPr>
          <w:sz w:val="28"/>
        </w:rPr>
        <w:t xml:space="preserve">. </w:t>
      </w:r>
    </w:p>
    <w:p w14:paraId="A2000000">
      <w:pPr>
        <w:pStyle w:val="Style_3"/>
        <w:spacing w:after="0" w:before="0" w:line="360" w:lineRule="auto"/>
        <w:ind w:firstLine="709" w:left="0"/>
        <w:jc w:val="both"/>
        <w:rPr>
          <w:sz w:val="28"/>
        </w:rPr>
      </w:pPr>
      <w:r>
        <w:rPr>
          <w:sz w:val="28"/>
        </w:rPr>
        <w:t xml:space="preserve">4. Вывод:  </w:t>
      </w:r>
    </w:p>
    <w:p w14:paraId="A3000000">
      <w:pPr>
        <w:pStyle w:val="Style_3"/>
        <w:spacing w:after="0" w:before="0" w:line="360" w:lineRule="auto"/>
        <w:ind/>
        <w:jc w:val="both"/>
        <w:rPr>
          <w:sz w:val="28"/>
        </w:rPr>
      </w:pPr>
    </w:p>
    <w:p w14:paraId="A4000000">
      <w:pPr>
        <w:pStyle w:val="Style_3"/>
        <w:spacing w:after="0" w:before="0" w:line="360" w:lineRule="auto"/>
        <w:ind/>
        <w:jc w:val="both"/>
        <w:rPr>
          <w:sz w:val="28"/>
        </w:rPr>
      </w:pPr>
      <w:r>
        <w:rPr>
          <w:b w:val="1"/>
          <w:sz w:val="28"/>
        </w:rPr>
        <w:t>Контрольные вопросы</w:t>
      </w:r>
      <w:r>
        <w:rPr>
          <w:sz w:val="28"/>
        </w:rPr>
        <w:t xml:space="preserve"> </w:t>
      </w:r>
    </w:p>
    <w:p w14:paraId="A5000000">
      <w:pPr>
        <w:pStyle w:val="Style_3"/>
        <w:numPr>
          <w:ilvl w:val="0"/>
          <w:numId w:val="4"/>
        </w:numPr>
        <w:spacing w:after="0" w:before="0" w:line="360" w:lineRule="auto"/>
        <w:ind w:firstLine="709" w:left="0"/>
        <w:jc w:val="both"/>
        <w:rPr>
          <w:sz w:val="28"/>
        </w:rPr>
      </w:pPr>
      <w:r>
        <w:rPr>
          <w:sz w:val="28"/>
        </w:rPr>
        <w:t xml:space="preserve">Что такое освещение? Для чего оно предназначено? </w:t>
      </w:r>
    </w:p>
    <w:p w14:paraId="A6000000">
      <w:pPr>
        <w:pStyle w:val="Style_3"/>
        <w:numPr>
          <w:ilvl w:val="0"/>
          <w:numId w:val="4"/>
        </w:numPr>
        <w:spacing w:after="0" w:before="0" w:line="360" w:lineRule="auto"/>
        <w:ind w:firstLine="709" w:left="0"/>
        <w:jc w:val="both"/>
        <w:rPr>
          <w:sz w:val="28"/>
        </w:rPr>
      </w:pPr>
      <w:r>
        <w:rPr>
          <w:sz w:val="28"/>
        </w:rPr>
        <w:t xml:space="preserve">Какие бывают виды освещения по принципу организации, по функциональному назначению? </w:t>
      </w:r>
    </w:p>
    <w:p w14:paraId="A7000000">
      <w:pPr>
        <w:pStyle w:val="Style_3"/>
        <w:numPr>
          <w:ilvl w:val="0"/>
          <w:numId w:val="4"/>
        </w:numPr>
        <w:spacing w:after="0" w:before="0" w:line="360" w:lineRule="auto"/>
        <w:ind w:firstLine="709" w:left="0"/>
        <w:jc w:val="both"/>
        <w:rPr>
          <w:sz w:val="28"/>
        </w:rPr>
      </w:pPr>
      <w:r>
        <w:rPr>
          <w:sz w:val="28"/>
        </w:rPr>
        <w:t xml:space="preserve">Какие светотехнические характеристики используют для оценки освещения? </w:t>
      </w:r>
    </w:p>
    <w:p w14:paraId="A8000000">
      <w:pPr>
        <w:pStyle w:val="Style_3"/>
        <w:numPr>
          <w:ilvl w:val="0"/>
          <w:numId w:val="4"/>
        </w:numPr>
        <w:spacing w:after="0" w:before="0" w:line="360" w:lineRule="auto"/>
        <w:ind w:firstLine="709" w:left="0"/>
        <w:jc w:val="both"/>
        <w:rPr>
          <w:sz w:val="28"/>
        </w:rPr>
      </w:pPr>
      <w:r>
        <w:rPr>
          <w:sz w:val="28"/>
        </w:rPr>
        <w:t xml:space="preserve">Какие лампы применяют для освещения? В чем заключаются преимущества и недостатки различных видов ламп? </w:t>
      </w:r>
    </w:p>
    <w:p w14:paraId="A9000000">
      <w:pPr>
        <w:pStyle w:val="Style_3"/>
        <w:numPr>
          <w:ilvl w:val="0"/>
          <w:numId w:val="4"/>
        </w:numPr>
        <w:spacing w:after="0" w:before="0" w:line="360" w:lineRule="auto"/>
        <w:ind w:firstLine="709" w:left="0"/>
        <w:jc w:val="both"/>
        <w:rPr>
          <w:sz w:val="28"/>
        </w:rPr>
      </w:pPr>
      <w:r>
        <w:rPr>
          <w:sz w:val="28"/>
        </w:rPr>
        <w:t xml:space="preserve">Для чего предназначены светильники, какие они бывают? </w:t>
      </w:r>
    </w:p>
    <w:p w14:paraId="AA000000">
      <w:pPr>
        <w:pStyle w:val="Style_3"/>
        <w:numPr>
          <w:ilvl w:val="0"/>
          <w:numId w:val="4"/>
        </w:numPr>
        <w:spacing w:after="0" w:before="0" w:line="360" w:lineRule="auto"/>
        <w:ind w:firstLine="709" w:left="0"/>
        <w:jc w:val="both"/>
        <w:rPr>
          <w:sz w:val="28"/>
        </w:rPr>
      </w:pPr>
      <w:r>
        <w:rPr>
          <w:sz w:val="28"/>
        </w:rPr>
        <w:t xml:space="preserve">Каким прибором производится измерение освещенности? </w:t>
      </w:r>
    </w:p>
    <w:p w14:paraId="AB000000">
      <w:pPr>
        <w:pStyle w:val="Style_3"/>
        <w:numPr>
          <w:ilvl w:val="0"/>
          <w:numId w:val="4"/>
        </w:numPr>
        <w:spacing w:after="0" w:before="0" w:line="360" w:lineRule="auto"/>
        <w:ind w:firstLine="709" w:left="0"/>
        <w:jc w:val="both"/>
        <w:rPr>
          <w:sz w:val="28"/>
        </w:rPr>
      </w:pPr>
      <w:r>
        <w:rPr>
          <w:sz w:val="28"/>
        </w:rPr>
        <w:t xml:space="preserve">В чем заключается лабораторный эксперимент? </w:t>
      </w:r>
    </w:p>
    <w:p w14:paraId="AC000000">
      <w:pPr>
        <w:pStyle w:val="Style_3"/>
        <w:numPr>
          <w:ilvl w:val="0"/>
          <w:numId w:val="4"/>
        </w:numPr>
        <w:spacing w:after="0" w:before="0" w:line="360" w:lineRule="auto"/>
        <w:ind w:firstLine="709" w:left="0"/>
        <w:jc w:val="both"/>
        <w:rPr>
          <w:sz w:val="28"/>
        </w:rPr>
      </w:pPr>
      <w:r>
        <w:rPr>
          <w:sz w:val="28"/>
        </w:rPr>
        <w:t xml:space="preserve">От каких факторов зависит освещенность? </w:t>
      </w:r>
    </w:p>
    <w:p w14:paraId="AD000000">
      <w:pPr>
        <w:pStyle w:val="Style_3"/>
        <w:numPr>
          <w:ilvl w:val="0"/>
          <w:numId w:val="4"/>
        </w:numPr>
        <w:spacing w:after="0" w:before="0" w:line="360" w:lineRule="auto"/>
        <w:ind w:firstLine="709" w:left="0"/>
        <w:jc w:val="both"/>
        <w:rPr>
          <w:sz w:val="28"/>
        </w:rPr>
      </w:pPr>
      <w:r>
        <w:rPr>
          <w:sz w:val="28"/>
        </w:rPr>
        <w:t xml:space="preserve">Как производится корректировка замеренных значений освещенности с учетом напряжения? </w:t>
      </w:r>
    </w:p>
    <w:p w14:paraId="AE000000">
      <w:pPr>
        <w:pStyle w:val="Style_5"/>
        <w:numPr>
          <w:ilvl w:val="0"/>
          <w:numId w:val="4"/>
        </w:num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Как определяется световая отдача лампы?</w:t>
      </w:r>
    </w:p>
    <w:p w14:paraId="AF000000">
      <w:bookmarkStart w:id="1" w:name="_GoBack"/>
      <w:bookmarkEnd w:id="1"/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ind w:hanging="360" w:left="1069"/>
      </w:pPr>
    </w:lvl>
    <w:lvl w:ilvl="1">
      <w:start w:val="1"/>
      <w:numFmt w:val="lowerLetter"/>
      <w:lvlText w:val="%2."/>
      <w:lvlJc w:val="left"/>
      <w:pPr>
        <w:ind w:hanging="360" w:left="1789"/>
      </w:pPr>
    </w:lvl>
    <w:lvl w:ilvl="2">
      <w:start w:val="1"/>
      <w:numFmt w:val="lowerRoman"/>
      <w:lvlText w:val="%3."/>
      <w:lvlJc w:val="right"/>
      <w:pPr>
        <w:ind w:hanging="180" w:left="2509"/>
      </w:pPr>
    </w:lvl>
    <w:lvl w:ilvl="3">
      <w:start w:val="1"/>
      <w:numFmt w:val="decimal"/>
      <w:lvlText w:val="%4."/>
      <w:lvlJc w:val="left"/>
      <w:pPr>
        <w:ind w:hanging="360" w:left="3229"/>
      </w:pPr>
    </w:lvl>
    <w:lvl w:ilvl="4">
      <w:start w:val="1"/>
      <w:numFmt w:val="lowerLetter"/>
      <w:lvlText w:val="%5."/>
      <w:lvlJc w:val="left"/>
      <w:pPr>
        <w:ind w:hanging="360" w:left="3949"/>
      </w:pPr>
    </w:lvl>
    <w:lvl w:ilvl="5">
      <w:start w:val="1"/>
      <w:numFmt w:val="lowerRoman"/>
      <w:lvlText w:val="%6."/>
      <w:lvlJc w:val="right"/>
      <w:pPr>
        <w:ind w:hanging="180" w:left="4669"/>
      </w:pPr>
    </w:lvl>
    <w:lvl w:ilvl="6">
      <w:start w:val="1"/>
      <w:numFmt w:val="decimal"/>
      <w:lvlText w:val="%7."/>
      <w:lvlJc w:val="left"/>
      <w:pPr>
        <w:ind w:hanging="360" w:left="5389"/>
      </w:pPr>
    </w:lvl>
    <w:lvl w:ilvl="7">
      <w:start w:val="1"/>
      <w:numFmt w:val="lowerLetter"/>
      <w:lvlText w:val="%8."/>
      <w:lvlJc w:val="left"/>
      <w:pPr>
        <w:ind w:hanging="360" w:left="6109"/>
      </w:pPr>
    </w:lvl>
    <w:lvl w:ilvl="8">
      <w:start w:val="1"/>
      <w:numFmt w:val="lowerRoman"/>
      <w:lvlText w:val="%9."/>
      <w:lvlJc w:val="right"/>
      <w:pPr>
        <w:ind w:hanging="180" w:left="6829"/>
      </w:pPr>
    </w:lvl>
  </w:abstractNum>
  <w:abstractNum w:abstractNumId="1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abstractNum w:abstractNumId="2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abstractNum w:abstractNumId="3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  <w:pPr>
      <w:spacing w:after="200" w:line="276" w:lineRule="auto"/>
      <w:ind/>
    </w:pPr>
    <w:rPr>
      <w:rFonts w:ascii="Calibri" w:hAnsi="Calibri"/>
    </w:rPr>
  </w:style>
  <w:style w:default="1" w:styleId="Style_6_ch" w:type="character">
    <w:name w:val="Normal"/>
    <w:link w:val="Style_6"/>
    <w:rPr>
      <w:rFonts w:ascii="Calibri" w:hAnsi="Calibri"/>
    </w:rPr>
  </w:style>
  <w:style w:styleId="Style_7" w:type="paragraph">
    <w:name w:val="toc 2"/>
    <w:next w:val="Style_6"/>
    <w:link w:val="Style_7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toc 4"/>
    <w:next w:val="Style_6"/>
    <w:link w:val="Style_8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toc 6"/>
    <w:next w:val="Style_6"/>
    <w:link w:val="Style_9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6"/>
    <w:link w:val="Style_10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heading 3"/>
    <w:next w:val="Style_6"/>
    <w:link w:val="Style_11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12" w:type="paragraph">
    <w:name w:val="Default Paragraph Font"/>
    <w:link w:val="Style_12_ch"/>
  </w:style>
  <w:style w:styleId="Style_12_ch" w:type="character">
    <w:name w:val="Default Paragraph Font"/>
    <w:link w:val="Style_12"/>
  </w:style>
  <w:style w:styleId="Style_13" w:type="paragraph">
    <w:name w:val="toc 3"/>
    <w:next w:val="Style_6"/>
    <w:link w:val="Style_13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4" w:type="paragraph">
    <w:name w:val="heading 5"/>
    <w:next w:val="Style_6"/>
    <w:link w:val="Style_14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4_ch" w:type="character">
    <w:name w:val="heading 5"/>
    <w:link w:val="Style_14"/>
    <w:rPr>
      <w:rFonts w:ascii="XO Thames" w:hAnsi="XO Thames"/>
      <w:b w:val="1"/>
      <w:sz w:val="22"/>
    </w:rPr>
  </w:style>
  <w:style w:styleId="Style_2" w:type="paragraph">
    <w:name w:val="heading 1"/>
    <w:basedOn w:val="Style_6"/>
    <w:next w:val="Style_6"/>
    <w:link w:val="Style_2_ch"/>
    <w:uiPriority w:val="9"/>
    <w:qFormat/>
    <w:pPr>
      <w:keepNext w:val="1"/>
      <w:keepLines w:val="1"/>
      <w:spacing w:after="0" w:before="240"/>
      <w:ind/>
      <w:outlineLvl w:val="0"/>
    </w:pPr>
    <w:rPr>
      <w:rFonts w:asciiTheme="majorAscii" w:hAnsiTheme="majorHAnsi"/>
      <w:color w:themeColor="accent1" w:themeShade="BF" w:val="2E75B5"/>
      <w:sz w:val="32"/>
    </w:rPr>
  </w:style>
  <w:style w:styleId="Style_2_ch" w:type="character">
    <w:name w:val="heading 1"/>
    <w:basedOn w:val="Style_6_ch"/>
    <w:link w:val="Style_2"/>
    <w:rPr>
      <w:rFonts w:asciiTheme="majorAscii" w:hAnsiTheme="majorHAnsi"/>
      <w:color w:themeColor="accent1" w:themeShade="BF" w:val="2E75B5"/>
      <w:sz w:val="32"/>
    </w:rPr>
  </w:style>
  <w:style w:styleId="Style_15" w:type="paragraph">
    <w:name w:val="Hyperlink"/>
    <w:link w:val="Style_15_ch"/>
    <w:rPr>
      <w:color w:val="0000FF"/>
      <w:u w:val="single"/>
    </w:rPr>
  </w:style>
  <w:style w:styleId="Style_15_ch" w:type="character">
    <w:name w:val="Hyperlink"/>
    <w:link w:val="Style_15"/>
    <w:rPr>
      <w:color w:val="0000FF"/>
      <w:u w:val="single"/>
    </w:rPr>
  </w:style>
  <w:style w:styleId="Style_16" w:type="paragraph">
    <w:name w:val="Footnote"/>
    <w:link w:val="Style_16_ch"/>
    <w:pPr>
      <w:ind w:firstLine="851" w:left="0"/>
      <w:jc w:val="both"/>
    </w:pPr>
    <w:rPr>
      <w:rFonts w:ascii="XO Thames" w:hAnsi="XO Thames"/>
      <w:sz w:val="22"/>
    </w:rPr>
  </w:style>
  <w:style w:styleId="Style_16_ch" w:type="character">
    <w:name w:val="Footnote"/>
    <w:link w:val="Style_16"/>
    <w:rPr>
      <w:rFonts w:ascii="XO Thames" w:hAnsi="XO Thames"/>
      <w:sz w:val="22"/>
    </w:rPr>
  </w:style>
  <w:style w:styleId="Style_17" w:type="paragraph">
    <w:name w:val="toc 1"/>
    <w:next w:val="Style_6"/>
    <w:link w:val="Style_17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7_ch" w:type="character">
    <w:name w:val="toc 1"/>
    <w:link w:val="Style_17"/>
    <w:rPr>
      <w:rFonts w:ascii="XO Thames" w:hAnsi="XO Thames"/>
      <w:b w:val="1"/>
      <w:sz w:val="28"/>
    </w:rPr>
  </w:style>
  <w:style w:styleId="Style_18" w:type="paragraph">
    <w:name w:val="Header and Footer"/>
    <w:link w:val="Style_18_ch"/>
    <w:pPr>
      <w:spacing w:line="240" w:lineRule="auto"/>
      <w:ind/>
      <w:jc w:val="both"/>
    </w:pPr>
    <w:rPr>
      <w:rFonts w:ascii="XO Thames" w:hAnsi="XO Thames"/>
      <w:sz w:val="20"/>
    </w:rPr>
  </w:style>
  <w:style w:styleId="Style_18_ch" w:type="character">
    <w:name w:val="Header and Footer"/>
    <w:link w:val="Style_18"/>
    <w:rPr>
      <w:rFonts w:ascii="XO Thames" w:hAnsi="XO Thames"/>
      <w:sz w:val="20"/>
    </w:rPr>
  </w:style>
  <w:style w:styleId="Style_19" w:type="paragraph">
    <w:name w:val="toc 9"/>
    <w:next w:val="Style_6"/>
    <w:link w:val="Style_19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9_ch" w:type="character">
    <w:name w:val="toc 9"/>
    <w:link w:val="Style_19"/>
    <w:rPr>
      <w:rFonts w:ascii="XO Thames" w:hAnsi="XO Thames"/>
      <w:sz w:val="28"/>
    </w:rPr>
  </w:style>
  <w:style w:styleId="Style_20" w:type="paragraph">
    <w:name w:val="toc 8"/>
    <w:next w:val="Style_6"/>
    <w:link w:val="Style_20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0_ch" w:type="character">
    <w:name w:val="toc 8"/>
    <w:link w:val="Style_20"/>
    <w:rPr>
      <w:rFonts w:ascii="XO Thames" w:hAnsi="XO Thames"/>
      <w:sz w:val="28"/>
    </w:rPr>
  </w:style>
  <w:style w:styleId="Style_21" w:type="paragraph">
    <w:name w:val="toc 5"/>
    <w:next w:val="Style_6"/>
    <w:link w:val="Style_21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1_ch" w:type="character">
    <w:name w:val="toc 5"/>
    <w:link w:val="Style_21"/>
    <w:rPr>
      <w:rFonts w:ascii="XO Thames" w:hAnsi="XO Thames"/>
      <w:sz w:val="28"/>
    </w:rPr>
  </w:style>
  <w:style w:styleId="Style_22" w:type="paragraph">
    <w:name w:val="Subtitle"/>
    <w:next w:val="Style_6"/>
    <w:link w:val="Style_22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2_ch" w:type="character">
    <w:name w:val="Subtitle"/>
    <w:link w:val="Style_22"/>
    <w:rPr>
      <w:rFonts w:ascii="XO Thames" w:hAnsi="XO Thames"/>
      <w:i w:val="1"/>
      <w:sz w:val="24"/>
    </w:rPr>
  </w:style>
  <w:style w:styleId="Style_5" w:type="paragraph">
    <w:name w:val="List Paragraph"/>
    <w:basedOn w:val="Style_6"/>
    <w:link w:val="Style_5_ch"/>
    <w:pPr>
      <w:ind w:firstLine="0" w:left="720"/>
      <w:contextualSpacing w:val="1"/>
    </w:pPr>
  </w:style>
  <w:style w:styleId="Style_5_ch" w:type="character">
    <w:name w:val="List Paragraph"/>
    <w:basedOn w:val="Style_6_ch"/>
    <w:link w:val="Style_5"/>
  </w:style>
  <w:style w:styleId="Style_23" w:type="paragraph">
    <w:name w:val="Title"/>
    <w:next w:val="Style_6"/>
    <w:link w:val="Style_23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3_ch" w:type="character">
    <w:name w:val="Title"/>
    <w:link w:val="Style_23"/>
    <w:rPr>
      <w:rFonts w:ascii="XO Thames" w:hAnsi="XO Thames"/>
      <w:b w:val="1"/>
      <w:caps w:val="1"/>
      <w:sz w:val="40"/>
    </w:rPr>
  </w:style>
  <w:style w:styleId="Style_24" w:type="paragraph">
    <w:name w:val="heading 4"/>
    <w:next w:val="Style_6"/>
    <w:link w:val="Style_24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4_ch" w:type="character">
    <w:name w:val="heading 4"/>
    <w:link w:val="Style_24"/>
    <w:rPr>
      <w:rFonts w:ascii="XO Thames" w:hAnsi="XO Thames"/>
      <w:b w:val="1"/>
      <w:sz w:val="24"/>
    </w:rPr>
  </w:style>
  <w:style w:styleId="Style_3" w:type="paragraph">
    <w:name w:val="Normal (Web)"/>
    <w:basedOn w:val="Style_6"/>
    <w:link w:val="Style_3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3_ch" w:type="character">
    <w:name w:val="Normal (Web)"/>
    <w:basedOn w:val="Style_6_ch"/>
    <w:link w:val="Style_3"/>
    <w:rPr>
      <w:rFonts w:ascii="Times New Roman" w:hAnsi="Times New Roman"/>
      <w:sz w:val="24"/>
    </w:rPr>
  </w:style>
  <w:style w:styleId="Style_1" w:type="paragraph">
    <w:name w:val="heading 2"/>
    <w:basedOn w:val="Style_6"/>
    <w:next w:val="Style_6"/>
    <w:link w:val="Style_1_ch"/>
    <w:uiPriority w:val="9"/>
    <w:qFormat/>
    <w:pPr>
      <w:keepNext w:val="1"/>
      <w:keepLines w:val="1"/>
      <w:spacing w:after="0" w:before="40"/>
      <w:ind/>
      <w:outlineLvl w:val="1"/>
    </w:pPr>
    <w:rPr>
      <w:rFonts w:asciiTheme="majorAscii" w:hAnsiTheme="majorHAnsi"/>
      <w:color w:themeColor="accent1" w:themeShade="BF" w:val="2E75B5"/>
      <w:sz w:val="26"/>
    </w:rPr>
  </w:style>
  <w:style w:styleId="Style_1_ch" w:type="character">
    <w:name w:val="heading 2"/>
    <w:basedOn w:val="Style_6_ch"/>
    <w:link w:val="Style_1"/>
    <w:rPr>
      <w:rFonts w:asciiTheme="majorAscii" w:hAnsiTheme="majorHAnsi"/>
      <w:color w:themeColor="accent1" w:themeShade="BF" w:val="2E75B5"/>
      <w:sz w:val="26"/>
    </w:rPr>
  </w:style>
  <w:style w:styleId="Style_4" w:type="table">
    <w:name w:val="Table Grid"/>
    <w:basedOn w:val="Style_25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2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3" Target="theme/theme1.xml" Type="http://schemas.openxmlformats.org/officeDocument/2006/relationships/theme"/>
  <Relationship Id="rId11" Target="stylesWithEffects.xml" Type="http://schemas.microsoft.com/office/2007/relationships/stylesWithEffects"/>
  <Relationship Id="rId10" Target="styles.xml" Type="http://schemas.openxmlformats.org/officeDocument/2006/relationships/styles"/>
  <Relationship Id="rId9" Target="settings.xml" Type="http://schemas.openxmlformats.org/officeDocument/2006/relationships/settings"/>
  <Relationship Id="rId8" Target="fontTable.xml" Type="http://schemas.openxmlformats.org/officeDocument/2006/relationships/fontTable"/>
  <Relationship Id="rId7" Target="media/7.png" Type="http://schemas.openxmlformats.org/officeDocument/2006/relationships/image"/>
  <Relationship Id="rId14" Target="numbering.xml" Type="http://schemas.openxmlformats.org/officeDocument/2006/relationships/numbering"/>
  <Relationship Id="rId6" Target="media/6.png" Type="http://schemas.openxmlformats.org/officeDocument/2006/relationships/image"/>
  <Relationship Id="rId5" Target="media/5.png" Type="http://schemas.openxmlformats.org/officeDocument/2006/relationships/image"/>
  <Relationship Id="rId4" Target="media/4.emf" Type="http://schemas.openxmlformats.org/officeDocument/2006/relationships/image"/>
  <Relationship Id="rId12" Target="webSettings.xml" Type="http://schemas.openxmlformats.org/officeDocument/2006/relationships/webSettings"/>
  <Relationship Id="rId3" Target="media/3.jpeg" Type="http://schemas.openxmlformats.org/officeDocument/2006/relationships/image"/>
  <Relationship Id="rId2" Target="media/2.jpeg" Type="http://schemas.openxmlformats.org/officeDocument/2006/relationships/image"/>
  <Relationship Id="rId1" Target="media/1.png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MyOffice-CoreFramework-Android/26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2022-11-07T23:05:35Z</dcterms:modified>
</cp:coreProperties>
</file>