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before="0" w:line="360" w:lineRule="auto"/>
        <w:ind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b w:val="1"/>
          <w:sz w:val="28"/>
        </w:rPr>
        <w:t xml:space="preserve">Лабораторная работа № 1 «Изучение конструкции типового оборудования силовой понижающей подстанции 110/10 кВ» </w:t>
      </w:r>
      <w:r>
        <w:rPr>
          <w:rFonts w:ascii="Times New Roman" w:hAnsi="Times New Roman"/>
          <w:b w:val="1"/>
          <w:sz w:val="28"/>
        </w:rPr>
        <w:br/>
      </w:r>
      <w:r>
        <w:rPr>
          <w:rFonts w:ascii="Times New Roman" w:hAnsi="Times New Roman"/>
          <w:b w:val="1"/>
          <w:sz w:val="28"/>
        </w:rPr>
        <w:t>по курсу «Электрические станции и подстанции»</w:t>
      </w:r>
    </w:p>
    <w:p w14:paraId="02000000">
      <w:pPr>
        <w:spacing w:after="0" w:line="36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Раздел</w:t>
      </w:r>
      <w:r>
        <w:rPr>
          <w:rFonts w:ascii="Times New Roman" w:hAnsi="Times New Roman"/>
          <w:b w:val="1"/>
          <w:sz w:val="28"/>
        </w:rPr>
        <w:t xml:space="preserve"> 5. Собственные нужды электростанций и подстанций. Системы измерений</w:t>
      </w:r>
      <w:r>
        <w:rPr>
          <w:rFonts w:ascii="Times New Roman" w:hAnsi="Times New Roman"/>
          <w:b w:val="1"/>
          <w:sz w:val="28"/>
        </w:rPr>
        <w:t>.</w:t>
      </w:r>
    </w:p>
    <w:p w14:paraId="03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Цель работы</w:t>
      </w:r>
      <w:r>
        <w:rPr>
          <w:rFonts w:ascii="Times New Roman" w:hAnsi="Times New Roman"/>
          <w:sz w:val="28"/>
        </w:rPr>
        <w:t xml:space="preserve"> - ознакомление с внешним видом основного и дополнительного оборудования подстанции 110/10 кВ и изучение его характеристик.</w:t>
      </w:r>
    </w:p>
    <w:p w14:paraId="04000000">
      <w:pPr>
        <w:spacing w:after="0" w:line="36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Задачи работы: </w:t>
      </w:r>
    </w:p>
    <w:p w14:paraId="05000000">
      <w:pPr>
        <w:pStyle w:val="Style_2"/>
        <w:numPr>
          <w:ilvl w:val="0"/>
          <w:numId w:val="1"/>
        </w:numPr>
        <w:tabs>
          <w:tab w:leader="none" w:pos="1418" w:val="left"/>
        </w:tabs>
        <w:spacing w:after="0" w:line="360" w:lineRule="auto"/>
        <w:ind w:firstLine="709" w:left="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>бор и анализ информации из доступных источников с целью идентификации элементов оборудования подстанции по внешнему виду;</w:t>
      </w:r>
    </w:p>
    <w:p w14:paraId="06000000">
      <w:pPr>
        <w:pStyle w:val="Style_2"/>
        <w:numPr>
          <w:ilvl w:val="0"/>
          <w:numId w:val="1"/>
        </w:numPr>
        <w:tabs>
          <w:tab w:leader="none" w:pos="1418" w:val="left"/>
        </w:tabs>
        <w:spacing w:after="0" w:line="360" w:lineRule="auto"/>
        <w:ind w:firstLine="709" w:left="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Изучение характеристик основного и дополнительного оборудования подстанции.</w:t>
      </w:r>
    </w:p>
    <w:p w14:paraId="07000000">
      <w:pPr>
        <w:pStyle w:val="Style_1"/>
        <w:spacing w:line="360" w:lineRule="auto"/>
        <w:ind w:firstLine="709" w:left="0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>1. Порядок запуска виртуальной лабораторной работы (ВЛР)</w:t>
      </w:r>
    </w:p>
    <w:p w14:paraId="08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Получите доступ к виртуальному рабочему столу. Инструкция по доступу прилагается к заданию в курсе.</w:t>
      </w:r>
    </w:p>
    <w:p w14:paraId="09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Откройте на виртуальном рабочем столе папку </w:t>
      </w:r>
      <w:r>
        <w:rPr>
          <w:rFonts w:ascii="Times New Roman" w:hAnsi="Times New Roman"/>
          <w:b w:val="1"/>
          <w:sz w:val="28"/>
        </w:rPr>
        <w:t>«Лабораторные работы»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выберите папку «</w:t>
      </w:r>
      <w:r>
        <w:rPr>
          <w:rFonts w:ascii="Times New Roman" w:hAnsi="Times New Roman"/>
          <w:sz w:val="28"/>
        </w:rPr>
        <w:t>ЕМАКЕТ</w:t>
      </w:r>
      <w:r>
        <w:rPr>
          <w:rFonts w:ascii="Times New Roman" w:hAnsi="Times New Roman"/>
          <w:sz w:val="28"/>
        </w:rPr>
        <w:t>», в ней</w:t>
      </w:r>
      <w:r>
        <w:rPr>
          <w:rFonts w:ascii="Times New Roman" w:hAnsi="Times New Roman"/>
          <w:sz w:val="28"/>
        </w:rPr>
        <w:t xml:space="preserve"> запустите двойным щелчком программу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eLabsClient</w:t>
      </w:r>
      <w:r>
        <w:rPr>
          <w:rFonts w:ascii="Times New Roman" w:hAnsi="Times New Roman"/>
          <w:sz w:val="28"/>
        </w:rPr>
        <w:t>.</w:t>
      </w:r>
    </w:p>
    <w:p w14:paraId="0A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В правой части экрана Вы можете ознакомиться с руководством пользователя по интерфейсу программы.</w:t>
      </w:r>
    </w:p>
    <w:p w14:paraId="0B000000">
      <w:pPr>
        <w:tabs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В левой части экрана в списке доступных продуктов нажмите на блок «Оборудование электрических станций и подстанций», чтобы развернуть список и кликните по названию работы «Изучение конструкции типового оборудования силовой понижающей подстанции 110/10 кВ» для запуска. В появившемся окне нажмите кнопку «Запустить».</w:t>
      </w:r>
    </w:p>
    <w:p w14:paraId="0C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Подведите курсор к правому верхнему углу экрана – появится пиктограмма листка бумаги - это методическое пособие к лабораторной работе. Щелкните по ней, чтобы развернуть и ознакомиться. </w:t>
      </w:r>
    </w:p>
    <w:p w14:paraId="0D000000">
      <w:pPr>
        <w:spacing w:after="0" w:line="360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inline>
                <wp:extent cx="1509623" cy="703565"/>
                <wp:docPr hidden="false" id="1" name="Picture 1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509623" cy="703565"/>
                          <a:chOff x="0" y="0"/>
                          <a:chExt cx="1509623" cy="703565"/>
                        </a:xfrm>
                      </wpg:grpSpPr>
                      <wps:wsp>
                        <wps:cNvSpPr txBox="false"/>
                        <wps:spPr>
                          <a:xfrm flipH="false" flipV="true" rot="0">
                            <a:off x="107101" y="142752"/>
                            <a:ext cx="469207" cy="438453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prstDash val="solid"/>
                            <a:tailEnd len="med" type="arrow" w="med"/>
                          </a:ln>
                        </wps:spPr>
                        <wps:style>
                          <a:lnRef idx="0"/>
                          <a:fillRef idx="0">
                            <a:schemeClr val="accent1"/>
                          </a:fillRef>
                          <a:effectRef idx="0"/>
                          <a:fontRef idx="none"/>
                        </wps:style>
                        <wps:bodyPr bIns="45720" lIns="91440" rIns="91440" tIns="45720"/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0E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Второй щелчок по этой пиктограмме свернет методическое пособие.</w:t>
      </w:r>
    </w:p>
    <w:p w14:paraId="0F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0000000">
      <w:pPr>
        <w:pStyle w:val="Style_1"/>
        <w:spacing w:line="360" w:lineRule="auto"/>
        <w:ind w:firstLine="709" w:left="0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 xml:space="preserve">2. </w:t>
      </w:r>
      <w:r>
        <w:rPr>
          <w:rFonts w:ascii="Times New Roman" w:hAnsi="Times New Roman"/>
          <w:b w:val="1"/>
          <w:color w:themeColor="text1" w:val="000000"/>
          <w:sz w:val="28"/>
        </w:rPr>
        <w:t>Управление ВЛР</w:t>
      </w:r>
    </w:p>
    <w:p w14:paraId="11000000">
      <w:pPr>
        <w:tabs>
          <w:tab w:leader="none" w:pos="1418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виртуальной лаборатории и</w:t>
      </w:r>
      <w:r>
        <w:rPr>
          <w:rFonts w:ascii="Times New Roman" w:hAnsi="Times New Roman"/>
          <w:sz w:val="28"/>
        </w:rPr>
        <w:t>спользуются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стандартные средства управления</w:t>
      </w:r>
      <w:r>
        <w:rPr>
          <w:rFonts w:ascii="Times New Roman" w:hAnsi="Times New Roman"/>
          <w:sz w:val="28"/>
        </w:rPr>
        <w:t>:</w:t>
      </w:r>
    </w:p>
    <w:tbl>
      <w:tblPr>
        <w:tblStyle w:val="Style_3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3426"/>
        <w:gridCol w:w="5929"/>
      </w:tblGrid>
      <w:tr>
        <w:tc>
          <w:tcPr>
            <w:tcW w:type="dxa" w:w="342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12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drawing>
                <wp:inline>
                  <wp:extent cx="2036140" cy="1354348"/>
                  <wp:effectExtent b="0" l="0" r="0" t="0"/>
                  <wp:docPr hidden="false" id="2" name="Picture 2"/>
                  <a:graphic>
                    <a:graphicData uri="http://schemas.openxmlformats.org/drawingml/2006/picture">
                      <pic:pic>
                        <pic:nvPicPr>
                          <pic:cNvPr hidden="false" id="3" name="Picture 3"/>
                          <pic:cNvPicPr preferRelativeResize="true"/>
                        </pic:nvPicPr>
                        <pic:blipFill>
                          <a:blip r:embed="rId1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2036140" cy="13543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929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13000000">
            <w:pPr>
              <w:spacing w:line="336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Клавиши клавиатуры:</w:t>
            </w:r>
          </w:p>
          <w:p w14:paraId="14000000">
            <w:pPr>
              <w:spacing w:line="336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«W» </w:t>
            </w: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Перемещение вперед;</w:t>
            </w:r>
          </w:p>
          <w:p w14:paraId="15000000">
            <w:pPr>
              <w:spacing w:line="336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«S» </w:t>
            </w: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Перемещение назад;</w:t>
            </w:r>
          </w:p>
          <w:p w14:paraId="16000000">
            <w:pPr>
              <w:spacing w:line="336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«A» </w:t>
            </w: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Перемещение влево;</w:t>
            </w:r>
          </w:p>
          <w:p w14:paraId="17000000">
            <w:pPr>
              <w:spacing w:line="336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«D» </w:t>
            </w: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Перемещение вправо.</w:t>
            </w:r>
          </w:p>
        </w:tc>
      </w:tr>
      <w:tr>
        <w:tc>
          <w:tcPr>
            <w:tcW w:type="dxa" w:w="342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18000000">
            <w:pPr>
              <w:spacing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drawing>
                <wp:inline>
                  <wp:extent cx="1828800" cy="2674210"/>
                  <wp:effectExtent b="0" l="0" r="0" t="0"/>
                  <wp:docPr hidden="false" id="4" name="Picture 4"/>
                  <a:graphic>
                    <a:graphicData uri="http://schemas.openxmlformats.org/drawingml/2006/picture">
                      <pic:pic>
                        <pic:nvPicPr>
                          <pic:cNvPr hidden="false" id="5" name="Picture 5"/>
                          <pic:cNvPicPr preferRelativeResize="true"/>
                        </pic:nvPicPr>
                        <pic:blipFill>
                          <a:blip r:embed="rId2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828800" cy="26742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929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19000000">
            <w:pPr>
              <w:spacing w:line="36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Правая клавиша мыши</w:t>
            </w:r>
          </w:p>
          <w:p w14:paraId="1A000000">
            <w:pPr>
              <w:tabs>
                <w:tab w:leader="none" w:pos="5180" w:val="left"/>
                <w:tab w:leader="none" w:pos="7200" w:val="left"/>
                <w:tab w:leader="none" w:pos="9560" w:val="left"/>
              </w:tabs>
              <w:spacing w:line="36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Для изменения направления взгляда (поворота головы) используется перемещение манипулятора мышь с нажатой правой клавишей.</w:t>
            </w:r>
          </w:p>
          <w:p w14:paraId="1B000000">
            <w:pPr>
              <w:spacing w:line="36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Левая клавиша мыши</w:t>
            </w:r>
          </w:p>
          <w:p w14:paraId="1C000000">
            <w:pPr>
              <w:spacing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Для нажатия на объект, его перемещения, поворота и т.д. используется нажатие левой клавиши.</w:t>
            </w:r>
          </w:p>
          <w:p w14:paraId="1D000000">
            <w:pPr>
              <w:spacing w:line="288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Для перемещения или вращения объекта</w:t>
            </w:r>
            <w:r>
              <w:rPr>
                <w:rFonts w:ascii="Times New Roman" w:hAnsi="Times New Roman"/>
                <w:sz w:val="28"/>
              </w:rPr>
              <w:t>, необходимо выполнить нажатие на объекте левой клавишей и произвести перемещение манипулятора не отпуская клавишу.</w:t>
            </w:r>
          </w:p>
        </w:tc>
      </w:tr>
    </w:tbl>
    <w:p w14:paraId="1E000000">
      <w:pPr>
        <w:pStyle w:val="Style_1"/>
        <w:spacing w:line="360" w:lineRule="auto"/>
        <w:ind w:firstLine="709" w:left="0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>3. Краткая теория</w:t>
      </w:r>
    </w:p>
    <w:p w14:paraId="1F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Электрическая подстанция — электроустановка, предназначенная для приема, преобразования и распределения электрической энергии, состоящая из трансформаторов или других преобразователей электрической энергии, </w:t>
      </w:r>
      <w:r>
        <w:rPr>
          <w:rFonts w:ascii="Times New Roman" w:hAnsi="Times New Roman"/>
          <w:sz w:val="28"/>
        </w:rPr>
        <w:t>устройств управления, распределительных и вспомогательных устройств. Подстанция, в которой стоят повышающие трансформаторы, повышает электрическое напряжение при соответствующем снижении значения силы тока, в то время как понижающая (или понизительная) подстанция уменьшает выходное напряжение при пропорциональном увеличении силы тока.</w:t>
      </w:r>
    </w:p>
    <w:p w14:paraId="20000000">
      <w:pPr>
        <w:spacing w:after="0" w:line="36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Необходимость в повышении передаваемого напряжения возникает в целях многократной экономии металла, используемого в проводах </w:t>
      </w:r>
      <w:r>
        <w:rPr>
          <w:rFonts w:ascii="Times New Roman" w:hAnsi="Times New Roman"/>
          <w:sz w:val="28"/>
        </w:rPr>
        <w:t>линий электропередач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ЛЭП</w:t>
      </w:r>
      <w:r>
        <w:rPr>
          <w:rFonts w:ascii="Times New Roman" w:hAnsi="Times New Roman"/>
          <w:sz w:val="28"/>
        </w:rPr>
        <w:t>)</w:t>
      </w:r>
      <w:r>
        <w:rPr>
          <w:rFonts w:ascii="Times New Roman" w:hAnsi="Times New Roman"/>
          <w:sz w:val="28"/>
        </w:rPr>
        <w:t>, и уменьшения потерь на активном сопротивлении. Действительно, необходимая площадь сечения проводов определяется только силой проходящего тока и отсутствием возникновения коронного разряда. Также уменьшение силы проходящего тока влечёт за собой уменьшение потери энергии, которая находится в прямой квадратичной зависимости от значения силы тока. С другой стороны, чтобы избежать высоковольтного электрического пробоя, применяются специальные меры: используются специальные изоляторы, провода разносятся на достаточное расстояние и т. д. Основная же причина повышения напряжения состоит в том, что чем выше напряжение, тем большую мощность и на большее расстояние можно передать по линии электропередачи.</w:t>
      </w:r>
    </w:p>
    <w:p w14:paraId="21000000">
      <w:pPr>
        <w:spacing w:after="0" w:before="240"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элементы электроподстанций:</w:t>
      </w:r>
    </w:p>
    <w:p w14:paraId="22000000">
      <w:pPr>
        <w:pStyle w:val="Style_2"/>
        <w:numPr>
          <w:ilvl w:val="0"/>
          <w:numId w:val="2"/>
        </w:numPr>
        <w:tabs>
          <w:tab w:leader="none" w:pos="1418" w:val="left"/>
        </w:tabs>
        <w:spacing w:after="0" w:line="360" w:lineRule="auto"/>
        <w:ind w:firstLine="709" w:left="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Силовые трансформаторы, автотрансформаторы, шунтирующие реакторы.</w:t>
      </w:r>
    </w:p>
    <w:p w14:paraId="23000000">
      <w:pPr>
        <w:numPr>
          <w:ilvl w:val="0"/>
          <w:numId w:val="2"/>
        </w:numPr>
        <w:tabs>
          <w:tab w:leader="none" w:pos="708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Вводные конструкции для воздушных и кабельных линий электропередачи.</w:t>
      </w:r>
    </w:p>
    <w:p w14:paraId="24000000">
      <w:pPr>
        <w:numPr>
          <w:ilvl w:val="0"/>
          <w:numId w:val="2"/>
        </w:numPr>
        <w:tabs>
          <w:tab w:leader="none" w:pos="340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bookmarkStart w:id="1" w:name="page3"/>
      <w:bookmarkEnd w:id="1"/>
      <w:r>
        <w:rPr>
          <w:rFonts w:ascii="Times New Roman" w:hAnsi="Times New Roman"/>
          <w:sz w:val="28"/>
        </w:rPr>
        <w:t>Открытые (ОРУ) и закрытые (ЗРУ) распределительные устройства, включая:</w:t>
      </w:r>
    </w:p>
    <w:p w14:paraId="25000000">
      <w:pPr>
        <w:numPr>
          <w:ilvl w:val="0"/>
          <w:numId w:val="2"/>
        </w:numPr>
        <w:tabs>
          <w:tab w:leader="none" w:pos="352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Системы и секции шин.</w:t>
      </w:r>
    </w:p>
    <w:p w14:paraId="26000000">
      <w:pPr>
        <w:numPr>
          <w:ilvl w:val="0"/>
          <w:numId w:val="2"/>
        </w:numPr>
        <w:tabs>
          <w:tab w:leader="none" w:pos="352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Силовые выключатели.</w:t>
      </w:r>
    </w:p>
    <w:p w14:paraId="27000000">
      <w:pPr>
        <w:numPr>
          <w:ilvl w:val="0"/>
          <w:numId w:val="2"/>
        </w:numPr>
        <w:tabs>
          <w:tab w:leader="none" w:pos="352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Разъединители.</w:t>
      </w:r>
    </w:p>
    <w:p w14:paraId="28000000">
      <w:pPr>
        <w:numPr>
          <w:ilvl w:val="0"/>
          <w:numId w:val="2"/>
        </w:numPr>
        <w:tabs>
          <w:tab w:leader="none" w:pos="340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Измерительное оборудование (измерительные трансформаторы тока и напряжения, измерительные приборы).</w:t>
      </w:r>
    </w:p>
    <w:p w14:paraId="29000000">
      <w:pPr>
        <w:numPr>
          <w:ilvl w:val="0"/>
          <w:numId w:val="2"/>
        </w:numPr>
        <w:tabs>
          <w:tab w:leader="none" w:pos="340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Оборудование ВЧ-связи между подстанциями (конденсаторы связи, ВЧ-заградители, фильтры присоединения).</w:t>
      </w:r>
    </w:p>
    <w:p w14:paraId="2A000000">
      <w:pPr>
        <w:numPr>
          <w:ilvl w:val="0"/>
          <w:numId w:val="2"/>
        </w:numPr>
        <w:tabs>
          <w:tab w:leader="none" w:pos="340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Токоограничивающие, регулирующие устройства (конденсаторные батареи, реакторы, </w:t>
      </w:r>
      <w:r>
        <w:rPr>
          <w:rFonts w:ascii="Times New Roman" w:hAnsi="Times New Roman"/>
          <w:sz w:val="28"/>
        </w:rPr>
        <w:t>фазовращатели</w:t>
      </w:r>
      <w:r>
        <w:rPr>
          <w:rFonts w:ascii="Times New Roman" w:hAnsi="Times New Roman"/>
          <w:sz w:val="28"/>
        </w:rPr>
        <w:t xml:space="preserve"> и пр.).</w:t>
      </w:r>
    </w:p>
    <w:p w14:paraId="2B000000">
      <w:pPr>
        <w:numPr>
          <w:ilvl w:val="0"/>
          <w:numId w:val="2"/>
        </w:numPr>
        <w:tabs>
          <w:tab w:leader="none" w:pos="352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Преобразователи частоты, рода тока (выпрямители).</w:t>
      </w:r>
    </w:p>
    <w:p w14:paraId="2C000000">
      <w:pPr>
        <w:numPr>
          <w:ilvl w:val="0"/>
          <w:numId w:val="2"/>
        </w:numPr>
        <w:tabs>
          <w:tab w:leader="none" w:pos="352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Система питания собственных нужд подстанции:</w:t>
      </w:r>
    </w:p>
    <w:p w14:paraId="2D000000">
      <w:pPr>
        <w:numPr>
          <w:ilvl w:val="0"/>
          <w:numId w:val="2"/>
        </w:numPr>
        <w:tabs>
          <w:tab w:leader="none" w:pos="352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Трансформаторы собственных нужд.</w:t>
      </w:r>
    </w:p>
    <w:p w14:paraId="2E000000">
      <w:pPr>
        <w:numPr>
          <w:ilvl w:val="0"/>
          <w:numId w:val="2"/>
        </w:numPr>
        <w:tabs>
          <w:tab w:leader="none" w:pos="352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Щит переменного тока.</w:t>
      </w:r>
    </w:p>
    <w:p w14:paraId="2F000000">
      <w:pPr>
        <w:numPr>
          <w:ilvl w:val="0"/>
          <w:numId w:val="2"/>
        </w:numPr>
        <w:tabs>
          <w:tab w:leader="none" w:pos="352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Аккумуляторные батареи.</w:t>
      </w:r>
    </w:p>
    <w:p w14:paraId="30000000">
      <w:pPr>
        <w:numPr>
          <w:ilvl w:val="0"/>
          <w:numId w:val="2"/>
        </w:numPr>
        <w:tabs>
          <w:tab w:leader="none" w:pos="352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Щит постоянного (оперативного) тока.</w:t>
      </w:r>
    </w:p>
    <w:p w14:paraId="31000000">
      <w:pPr>
        <w:numPr>
          <w:ilvl w:val="0"/>
          <w:numId w:val="2"/>
        </w:numPr>
        <w:tabs>
          <w:tab w:leader="none" w:pos="340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Дизельные генераторы и другие аварийные источники энергии (на крупных и особо важных подстанциях).</w:t>
      </w:r>
    </w:p>
    <w:p w14:paraId="32000000">
      <w:pPr>
        <w:numPr>
          <w:ilvl w:val="0"/>
          <w:numId w:val="2"/>
        </w:numPr>
        <w:tabs>
          <w:tab w:leader="none" w:pos="352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Системы защиты и автоматики</w:t>
      </w:r>
      <w:r>
        <w:rPr>
          <w:rFonts w:ascii="Times New Roman" w:hAnsi="Times New Roman"/>
          <w:sz w:val="28"/>
        </w:rPr>
        <w:t>.</w:t>
      </w:r>
    </w:p>
    <w:p w14:paraId="33000000">
      <w:pPr>
        <w:numPr>
          <w:ilvl w:val="0"/>
          <w:numId w:val="2"/>
        </w:numPr>
        <w:tabs>
          <w:tab w:leader="none" w:pos="340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Устройства релейной защиты и противоаварийной автоматики для силовых линий, трансформаторов, шин.</w:t>
      </w:r>
    </w:p>
    <w:p w14:paraId="34000000">
      <w:pPr>
        <w:numPr>
          <w:ilvl w:val="0"/>
          <w:numId w:val="2"/>
        </w:numPr>
        <w:tabs>
          <w:tab w:leader="none" w:pos="352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Автоматическая система управления.</w:t>
      </w:r>
    </w:p>
    <w:p w14:paraId="35000000">
      <w:pPr>
        <w:numPr>
          <w:ilvl w:val="0"/>
          <w:numId w:val="2"/>
        </w:numPr>
        <w:tabs>
          <w:tab w:leader="none" w:pos="352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Система телемеханического управления.</w:t>
      </w:r>
    </w:p>
    <w:p w14:paraId="36000000">
      <w:pPr>
        <w:numPr>
          <w:ilvl w:val="0"/>
          <w:numId w:val="2"/>
        </w:numPr>
        <w:tabs>
          <w:tab w:leader="none" w:pos="352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Система технического и коммерческого учёта электроэнергии.</w:t>
      </w:r>
    </w:p>
    <w:p w14:paraId="37000000">
      <w:pPr>
        <w:numPr>
          <w:ilvl w:val="0"/>
          <w:numId w:val="2"/>
        </w:numPr>
        <w:tabs>
          <w:tab w:leader="none" w:pos="340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Система технологической связи энергосистемы и внутренней связи подстанции.</w:t>
      </w:r>
    </w:p>
    <w:p w14:paraId="38000000">
      <w:pPr>
        <w:numPr>
          <w:ilvl w:val="0"/>
          <w:numId w:val="2"/>
        </w:numPr>
        <w:tabs>
          <w:tab w:leader="none" w:pos="352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Система заземления, включая заземлители и контур заземления.</w:t>
      </w:r>
    </w:p>
    <w:p w14:paraId="39000000">
      <w:pPr>
        <w:numPr>
          <w:ilvl w:val="0"/>
          <w:numId w:val="2"/>
        </w:numPr>
        <w:tabs>
          <w:tab w:leader="none" w:pos="352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Молниезащитные</w:t>
      </w:r>
      <w:r>
        <w:rPr>
          <w:rFonts w:ascii="Times New Roman" w:hAnsi="Times New Roman"/>
          <w:sz w:val="28"/>
        </w:rPr>
        <w:t xml:space="preserve"> сооружения.</w:t>
      </w:r>
    </w:p>
    <w:p w14:paraId="3A000000">
      <w:pPr>
        <w:numPr>
          <w:ilvl w:val="0"/>
          <w:numId w:val="2"/>
        </w:numPr>
        <w:tabs>
          <w:tab w:leader="none" w:pos="352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Вспомогательные системы:</w:t>
      </w:r>
    </w:p>
    <w:p w14:paraId="3B000000">
      <w:pPr>
        <w:numPr>
          <w:ilvl w:val="0"/>
          <w:numId w:val="2"/>
        </w:numPr>
        <w:tabs>
          <w:tab w:leader="none" w:pos="352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Система вентиляции, кондиционирования, обогрева.</w:t>
      </w:r>
    </w:p>
    <w:p w14:paraId="3C000000">
      <w:pPr>
        <w:numPr>
          <w:ilvl w:val="0"/>
          <w:numId w:val="2"/>
        </w:numPr>
        <w:tabs>
          <w:tab w:leader="none" w:pos="352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Система автоматического пожаротушения.</w:t>
      </w:r>
    </w:p>
    <w:p w14:paraId="3D000000">
      <w:pPr>
        <w:numPr>
          <w:ilvl w:val="0"/>
          <w:numId w:val="2"/>
        </w:numPr>
        <w:tabs>
          <w:tab w:leader="none" w:pos="352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Система освещения территории.</w:t>
      </w:r>
    </w:p>
    <w:p w14:paraId="3E000000">
      <w:pPr>
        <w:numPr>
          <w:ilvl w:val="0"/>
          <w:numId w:val="2"/>
        </w:numPr>
        <w:tabs>
          <w:tab w:leader="none" w:pos="352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Система охранно-пожарной сигнализации, управления доступом.</w:t>
      </w:r>
    </w:p>
    <w:p w14:paraId="3F000000">
      <w:pPr>
        <w:numPr>
          <w:ilvl w:val="0"/>
          <w:numId w:val="2"/>
        </w:numPr>
        <w:tabs>
          <w:tab w:leader="none" w:pos="352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Система технологического и охранного видеонаблюдения.</w:t>
      </w:r>
    </w:p>
    <w:p w14:paraId="40000000">
      <w:pPr>
        <w:numPr>
          <w:ilvl w:val="0"/>
          <w:numId w:val="2"/>
        </w:numPr>
        <w:tabs>
          <w:tab w:leader="none" w:pos="352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Устройства плавки гололёда на воздушных линиях.</w:t>
      </w:r>
    </w:p>
    <w:p w14:paraId="41000000">
      <w:pPr>
        <w:numPr>
          <w:ilvl w:val="0"/>
          <w:numId w:val="2"/>
        </w:numPr>
        <w:tabs>
          <w:tab w:leader="none" w:pos="352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Системы аварийного сбора масла.</w:t>
      </w:r>
    </w:p>
    <w:p w14:paraId="42000000">
      <w:pPr>
        <w:numPr>
          <w:ilvl w:val="0"/>
          <w:numId w:val="2"/>
        </w:numPr>
        <w:tabs>
          <w:tab w:leader="none" w:pos="352" w:val="left"/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Системы питания маслонаполненных кабелей.</w:t>
      </w:r>
    </w:p>
    <w:p w14:paraId="43000000">
      <w:pPr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44000000">
      <w:pPr>
        <w:pStyle w:val="Style_1"/>
        <w:spacing w:line="360" w:lineRule="auto"/>
        <w:ind w:firstLine="709" w:left="0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>4. Лабораторное оборудование</w:t>
      </w:r>
    </w:p>
    <w:p w14:paraId="45000000">
      <w:pPr>
        <w:ind/>
        <w:jc w:val="both"/>
        <w:rPr>
          <w:rFonts w:ascii="Times New Roman" w:hAnsi="Times New Roman"/>
          <w:sz w:val="20"/>
        </w:rPr>
      </w:pPr>
      <w:r>
        <w:rPr>
          <w:sz w:val="20"/>
        </w:rPr>
        <w:drawing>
          <wp:inline>
            <wp:extent cx="5788550" cy="2335539"/>
            <wp:effectExtent b="0" l="0" r="0" t="0"/>
            <wp:docPr hidden="false" id="6" name="Picture 6"/>
            <a:graphic>
              <a:graphicData uri="http://schemas.openxmlformats.org/drawingml/2006/picture">
                <pic:pic>
                  <pic:nvPicPr>
                    <pic:cNvPr hidden="false" id="7" name="Picture 7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5788550" cy="233553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6000000">
      <w:pPr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>
            <wp:extent cx="2878373" cy="1685180"/>
            <wp:effectExtent b="0" l="0" r="0" t="0"/>
            <wp:docPr hidden="false" id="8" name="Picture 8"/>
            <a:graphic>
              <a:graphicData uri="http://schemas.openxmlformats.org/drawingml/2006/picture">
                <pic:pic>
                  <pic:nvPicPr>
                    <pic:cNvPr hidden="false" id="9" name="Picture 9"/>
                    <pic:cNvPicPr preferRelativeResize="true"/>
                  </pic:nvPicPr>
                  <pic:blipFill>
                    <a:blip r:embed="rId4"/>
                    <a:srcRect b="0" l="0" r="0" t="1396"/>
                    <a:stretch/>
                  </pic:blipFill>
                  <pic:spPr>
                    <a:xfrm flipH="false" flipV="false" rot="0">
                      <a:ext cx="2878373" cy="168518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drawing>
          <wp:inline>
            <wp:extent cx="2880000" cy="1688400"/>
            <wp:effectExtent b="0" l="0" r="0" t="0"/>
            <wp:docPr hidden="false" id="10" name="Picture 10"/>
            <a:graphic>
              <a:graphicData uri="http://schemas.openxmlformats.org/drawingml/2006/picture">
                <pic:pic>
                  <pic:nvPicPr>
                    <pic:cNvPr hidden="false" id="11" name="Picture 11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2880000" cy="16884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7000000">
      <w:pPr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drawing>
          <wp:inline>
            <wp:extent cx="2880000" cy="1695600"/>
            <wp:effectExtent b="0" l="0" r="0" t="0"/>
            <wp:docPr hidden="false" id="12" name="Picture 12"/>
            <a:graphic>
              <a:graphicData uri="http://schemas.openxmlformats.org/drawingml/2006/picture">
                <pic:pic>
                  <pic:nvPicPr>
                    <pic:cNvPr hidden="false" id="13" name="Picture 13"/>
                    <pic:cNvPicPr preferRelativeResize="true"/>
                  </pic:nvPicPr>
                  <pic:blipFill>
                    <a:blip r:embed="rId6"/>
                    <a:stretch/>
                  </pic:blipFill>
                  <pic:spPr>
                    <a:xfrm flipH="false" flipV="false" rot="0">
                      <a:ext cx="2880000" cy="16956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drawing>
          <wp:inline>
            <wp:extent cx="2880000" cy="1688400"/>
            <wp:effectExtent b="0" l="0" r="0" t="0"/>
            <wp:docPr hidden="false" id="14" name="Picture 14"/>
            <a:graphic>
              <a:graphicData uri="http://schemas.openxmlformats.org/drawingml/2006/picture">
                <pic:pic>
                  <pic:nvPicPr>
                    <pic:cNvPr hidden="false" id="15" name="Picture 15"/>
                    <pic:cNvPicPr preferRelativeResize="true"/>
                  </pic:nvPicPr>
                  <pic:blipFill>
                    <a:blip r:embed="rId7"/>
                    <a:stretch/>
                  </pic:blipFill>
                  <pic:spPr>
                    <a:xfrm flipH="false" flipV="false" rot="0">
                      <a:ext cx="2880000" cy="16884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8000000">
      <w:pPr>
        <w:spacing w:line="200" w:lineRule="exact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>Рис.1. Лабораторное оборудование.</w:t>
      </w:r>
    </w:p>
    <w:p w14:paraId="49000000">
      <w:pPr>
        <w:spacing w:after="0" w:line="360" w:lineRule="auto"/>
        <w:ind w:firstLine="709" w:left="0"/>
        <w:rPr>
          <w:rFonts w:ascii="Times New Roman" w:hAnsi="Times New Roman"/>
          <w:b w:val="1"/>
          <w:sz w:val="28"/>
        </w:rPr>
      </w:pPr>
    </w:p>
    <w:p w14:paraId="4A000000">
      <w:pPr>
        <w:pStyle w:val="Style_1"/>
        <w:spacing w:line="360" w:lineRule="auto"/>
        <w:ind w:firstLine="709" w:left="0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>5. Порядок выполнения работы</w:t>
      </w:r>
    </w:p>
    <w:p w14:paraId="4B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После запуска программы работы внимательно рассмотрите элементы подстанции. </w:t>
      </w:r>
    </w:p>
    <w:p w14:paraId="4C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Затем с помощью поисковых систем найдите и идентифицируйте их.</w:t>
      </w:r>
    </w:p>
    <w:p w14:paraId="4D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Кратко (одним - двумя предложениями) опишите внешний вид каждого обнаруженного и идентифицированного элемента, </w:t>
      </w:r>
      <w:r>
        <w:rPr>
          <w:rFonts w:ascii="Times New Roman" w:hAnsi="Times New Roman"/>
          <w:sz w:val="28"/>
        </w:rPr>
        <w:t>например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i w:val="1"/>
          <w:sz w:val="28"/>
        </w:rPr>
        <w:t>Элемент</w:t>
      </w:r>
      <w:r>
        <w:rPr>
          <w:rFonts w:ascii="Times New Roman" w:hAnsi="Times New Roman"/>
          <w:i w:val="1"/>
          <w:sz w:val="28"/>
        </w:rPr>
        <w:t xml:space="preserve"> </w:t>
      </w:r>
      <w:r>
        <w:rPr>
          <w:rFonts w:ascii="Times New Roman" w:hAnsi="Times New Roman"/>
          <w:i w:val="1"/>
          <w:sz w:val="28"/>
        </w:rPr>
        <w:t>… предназначен для … и представляет собой металлический шкаф с …</w:t>
      </w:r>
      <w:r>
        <w:rPr>
          <w:rFonts w:ascii="Times New Roman" w:hAnsi="Times New Roman"/>
          <w:i w:val="1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Для элементов, отсутствующих на рисунке, сделайте соответствующую пометку, например, «размещен внутри здания». </w:t>
      </w:r>
    </w:p>
    <w:p w14:paraId="4E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Подробно (от половины до одной страницы) опишите один элемент из таблицы 1, номер которого соответствует порядковому номеру первой буквы Вашей фамилии. </w:t>
      </w:r>
    </w:p>
    <w:p w14:paraId="4F000000">
      <w:pPr>
        <w:spacing w:after="0" w:line="360" w:lineRule="auto"/>
        <w:ind w:firstLine="709" w:left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Таблица 1</w:t>
      </w:r>
    </w:p>
    <w:tbl>
      <w:tblPr>
        <w:tblStyle w:val="Style_3"/>
        <w:tblLayout w:type="fixed"/>
      </w:tblPr>
      <w:tblGrid>
        <w:gridCol w:w="1491"/>
        <w:gridCol w:w="3048"/>
        <w:gridCol w:w="1386"/>
        <w:gridCol w:w="3430"/>
      </w:tblGrid>
      <w:tr>
        <w:tc>
          <w:tcPr>
            <w:tcW w:type="dxa" w:w="1491"/>
          </w:tcPr>
          <w:p w14:paraId="50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Первая б</w:t>
            </w:r>
            <w:r>
              <w:rPr>
                <w:rFonts w:ascii="Times New Roman" w:hAnsi="Times New Roman"/>
                <w:b w:val="1"/>
                <w:sz w:val="28"/>
              </w:rPr>
              <w:t>уква</w:t>
            </w:r>
            <w:r>
              <w:rPr>
                <w:rFonts w:ascii="Times New Roman" w:hAnsi="Times New Roman"/>
                <w:b w:val="1"/>
                <w:sz w:val="28"/>
              </w:rPr>
              <w:t xml:space="preserve"> фамилии</w:t>
            </w:r>
          </w:p>
        </w:tc>
        <w:tc>
          <w:tcPr>
            <w:tcW w:type="dxa" w:w="3048"/>
            <w:tcBorders>
              <w:right w:color="000000" w:sz="12" w:val="single"/>
            </w:tcBorders>
          </w:tcPr>
          <w:p w14:paraId="51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Элемент</w:t>
            </w:r>
            <w:r>
              <w:rPr>
                <w:rFonts w:ascii="Times New Roman" w:hAnsi="Times New Roman"/>
                <w:b w:val="1"/>
                <w:sz w:val="28"/>
              </w:rPr>
              <w:t xml:space="preserve"> для подробного описания</w:t>
            </w:r>
          </w:p>
        </w:tc>
        <w:tc>
          <w:tcPr>
            <w:tcW w:type="dxa" w:w="1386"/>
            <w:tcBorders>
              <w:left w:color="000000" w:sz="12" w:val="single"/>
            </w:tcBorders>
          </w:tcPr>
          <w:p w14:paraId="52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Первая б</w:t>
            </w:r>
            <w:r>
              <w:rPr>
                <w:rFonts w:ascii="Times New Roman" w:hAnsi="Times New Roman"/>
                <w:b w:val="1"/>
                <w:sz w:val="28"/>
              </w:rPr>
              <w:t>уква</w:t>
            </w:r>
            <w:r>
              <w:rPr>
                <w:rFonts w:ascii="Times New Roman" w:hAnsi="Times New Roman"/>
                <w:b w:val="1"/>
                <w:sz w:val="28"/>
              </w:rPr>
              <w:t xml:space="preserve"> фамилии</w:t>
            </w:r>
          </w:p>
        </w:tc>
        <w:tc>
          <w:tcPr>
            <w:tcW w:type="dxa" w:w="3430"/>
          </w:tcPr>
          <w:p w14:paraId="53000000">
            <w:pPr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Элемент</w:t>
            </w:r>
            <w:r>
              <w:rPr>
                <w:rFonts w:ascii="Times New Roman" w:hAnsi="Times New Roman"/>
                <w:b w:val="1"/>
                <w:sz w:val="28"/>
              </w:rPr>
              <w:t xml:space="preserve"> для подробного описания</w:t>
            </w:r>
          </w:p>
        </w:tc>
      </w:tr>
      <w:tr>
        <w:tc>
          <w:tcPr>
            <w:tcW w:type="dxa" w:w="1491"/>
          </w:tcPr>
          <w:p w14:paraId="54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</w:t>
            </w:r>
          </w:p>
        </w:tc>
        <w:tc>
          <w:tcPr>
            <w:tcW w:type="dxa" w:w="3048"/>
            <w:tcBorders>
              <w:right w:color="000000" w:sz="12" w:val="single"/>
            </w:tcBorders>
          </w:tcPr>
          <w:p w14:paraId="55000000">
            <w:pPr>
              <w:tabs>
                <w:tab w:leader="none" w:pos="0" w:val="left"/>
              </w:tabs>
              <w:ind w:firstLine="0" w:lef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Силовые трансформаторы, автотрансформаторы, шунтирующие реакторы.</w:t>
            </w:r>
          </w:p>
        </w:tc>
        <w:tc>
          <w:tcPr>
            <w:tcW w:type="dxa" w:w="1386"/>
            <w:tcBorders>
              <w:left w:color="000000" w:sz="12" w:val="single"/>
            </w:tcBorders>
          </w:tcPr>
          <w:p w14:paraId="56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</w:t>
            </w:r>
          </w:p>
        </w:tc>
        <w:tc>
          <w:tcPr>
            <w:tcW w:type="dxa" w:w="3430"/>
          </w:tcPr>
          <w:p w14:paraId="57000000">
            <w:pPr>
              <w:tabs>
                <w:tab w:leader="none" w:pos="340" w:val="left"/>
                <w:tab w:leader="none" w:pos="1418" w:val="left"/>
              </w:tabs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Дизельные генераторы и другие аварийные источники энергии (на крупных и особо важных подстанциях).</w:t>
            </w:r>
          </w:p>
        </w:tc>
      </w:tr>
      <w:tr>
        <w:tc>
          <w:tcPr>
            <w:tcW w:type="dxa" w:w="1491"/>
          </w:tcPr>
          <w:p w14:paraId="58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Б</w:t>
            </w:r>
          </w:p>
        </w:tc>
        <w:tc>
          <w:tcPr>
            <w:tcW w:type="dxa" w:w="3048"/>
            <w:tcBorders>
              <w:right w:color="000000" w:sz="12" w:val="single"/>
            </w:tcBorders>
          </w:tcPr>
          <w:p w14:paraId="59000000">
            <w:pPr>
              <w:tabs>
                <w:tab w:leader="none" w:pos="0" w:val="left"/>
                <w:tab w:leader="none" w:pos="708" w:val="left"/>
              </w:tabs>
              <w:ind w:firstLine="0" w:lef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Вводные конструкции для воздушных и кабельных линий электропередачи.</w:t>
            </w:r>
          </w:p>
        </w:tc>
        <w:tc>
          <w:tcPr>
            <w:tcW w:type="dxa" w:w="1386"/>
            <w:tcBorders>
              <w:left w:color="000000" w:sz="12" w:val="single"/>
            </w:tcBorders>
          </w:tcPr>
          <w:p w14:paraId="5A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</w:t>
            </w:r>
          </w:p>
        </w:tc>
        <w:tc>
          <w:tcPr>
            <w:tcW w:type="dxa" w:w="3430"/>
          </w:tcPr>
          <w:p w14:paraId="5B000000">
            <w:pPr>
              <w:tabs>
                <w:tab w:leader="none" w:pos="352" w:val="left"/>
                <w:tab w:leader="none" w:pos="1418" w:val="left"/>
              </w:tabs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Системы защиты и автоматики.</w:t>
            </w:r>
          </w:p>
        </w:tc>
      </w:tr>
      <w:tr>
        <w:tc>
          <w:tcPr>
            <w:tcW w:type="dxa" w:w="1491"/>
          </w:tcPr>
          <w:p w14:paraId="5C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</w:t>
            </w:r>
          </w:p>
        </w:tc>
        <w:tc>
          <w:tcPr>
            <w:tcW w:type="dxa" w:w="3048"/>
            <w:tcBorders>
              <w:right w:color="000000" w:sz="12" w:val="single"/>
            </w:tcBorders>
          </w:tcPr>
          <w:p w14:paraId="5D000000">
            <w:pPr>
              <w:tabs>
                <w:tab w:leader="none" w:pos="0" w:val="left"/>
                <w:tab w:leader="none" w:pos="340" w:val="left"/>
              </w:tabs>
              <w:ind w:firstLine="0" w:lef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Открытые (ОРУ) и закрытые (ЗРУ) распределительные устройства, включая:</w:t>
            </w:r>
          </w:p>
        </w:tc>
        <w:tc>
          <w:tcPr>
            <w:tcW w:type="dxa" w:w="1386"/>
            <w:tcBorders>
              <w:left w:color="000000" w:sz="12" w:val="single"/>
            </w:tcBorders>
          </w:tcPr>
          <w:p w14:paraId="5E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</w:t>
            </w:r>
          </w:p>
        </w:tc>
        <w:tc>
          <w:tcPr>
            <w:tcW w:type="dxa" w:w="3430"/>
          </w:tcPr>
          <w:p w14:paraId="5F000000">
            <w:pPr>
              <w:tabs>
                <w:tab w:leader="none" w:pos="340" w:val="left"/>
                <w:tab w:leader="none" w:pos="1418" w:val="left"/>
              </w:tabs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Устройства релейной защиты и противоаварийной автоматики для силовых линий, трансформаторов, шин.</w:t>
            </w:r>
          </w:p>
        </w:tc>
      </w:tr>
      <w:tr>
        <w:tc>
          <w:tcPr>
            <w:tcW w:type="dxa" w:w="1491"/>
          </w:tcPr>
          <w:p w14:paraId="60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</w:t>
            </w:r>
          </w:p>
        </w:tc>
        <w:tc>
          <w:tcPr>
            <w:tcW w:type="dxa" w:w="3048"/>
            <w:tcBorders>
              <w:right w:color="000000" w:sz="12" w:val="single"/>
            </w:tcBorders>
          </w:tcPr>
          <w:p w14:paraId="61000000">
            <w:pPr>
              <w:tabs>
                <w:tab w:leader="none" w:pos="0" w:val="left"/>
                <w:tab w:leader="none" w:pos="352" w:val="left"/>
              </w:tabs>
              <w:ind w:firstLine="0" w:lef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Системы и секции шин.</w:t>
            </w:r>
          </w:p>
        </w:tc>
        <w:tc>
          <w:tcPr>
            <w:tcW w:type="dxa" w:w="1386"/>
            <w:tcBorders>
              <w:left w:color="000000" w:sz="12" w:val="single"/>
            </w:tcBorders>
          </w:tcPr>
          <w:p w14:paraId="62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</w:t>
            </w:r>
          </w:p>
        </w:tc>
        <w:tc>
          <w:tcPr>
            <w:tcW w:type="dxa" w:w="3430"/>
          </w:tcPr>
          <w:p w14:paraId="63000000">
            <w:pPr>
              <w:tabs>
                <w:tab w:leader="none" w:pos="352" w:val="left"/>
                <w:tab w:leader="none" w:pos="1418" w:val="left"/>
              </w:tabs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Автоматическая система управления.</w:t>
            </w:r>
          </w:p>
        </w:tc>
      </w:tr>
      <w:tr>
        <w:tc>
          <w:tcPr>
            <w:tcW w:type="dxa" w:w="1491"/>
          </w:tcPr>
          <w:p w14:paraId="64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</w:t>
            </w:r>
          </w:p>
        </w:tc>
        <w:tc>
          <w:tcPr>
            <w:tcW w:type="dxa" w:w="3048"/>
            <w:tcBorders>
              <w:right w:color="000000" w:sz="12" w:val="single"/>
            </w:tcBorders>
          </w:tcPr>
          <w:p w14:paraId="65000000">
            <w:pPr>
              <w:tabs>
                <w:tab w:leader="none" w:pos="0" w:val="left"/>
                <w:tab w:leader="none" w:pos="352" w:val="left"/>
              </w:tabs>
              <w:ind w:firstLine="0" w:lef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Силовые выключатели.</w:t>
            </w:r>
          </w:p>
        </w:tc>
        <w:tc>
          <w:tcPr>
            <w:tcW w:type="dxa" w:w="1386"/>
            <w:tcBorders>
              <w:left w:color="000000" w:sz="12" w:val="single"/>
            </w:tcBorders>
          </w:tcPr>
          <w:p w14:paraId="66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</w:t>
            </w:r>
          </w:p>
        </w:tc>
        <w:tc>
          <w:tcPr>
            <w:tcW w:type="dxa" w:w="3430"/>
          </w:tcPr>
          <w:p w14:paraId="67000000">
            <w:pPr>
              <w:tabs>
                <w:tab w:leader="none" w:pos="352" w:val="left"/>
                <w:tab w:leader="none" w:pos="1418" w:val="left"/>
              </w:tabs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Система телемеханического управления.</w:t>
            </w:r>
          </w:p>
        </w:tc>
      </w:tr>
      <w:tr>
        <w:tc>
          <w:tcPr>
            <w:tcW w:type="dxa" w:w="1491"/>
          </w:tcPr>
          <w:p w14:paraId="68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Е</w:t>
            </w:r>
          </w:p>
        </w:tc>
        <w:tc>
          <w:tcPr>
            <w:tcW w:type="dxa" w:w="3048"/>
            <w:tcBorders>
              <w:right w:color="000000" w:sz="12" w:val="single"/>
            </w:tcBorders>
          </w:tcPr>
          <w:p w14:paraId="69000000">
            <w:pPr>
              <w:tabs>
                <w:tab w:leader="none" w:pos="0" w:val="left"/>
                <w:tab w:leader="none" w:pos="352" w:val="left"/>
              </w:tabs>
              <w:ind w:firstLine="0" w:lef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Разъединители.</w:t>
            </w:r>
          </w:p>
        </w:tc>
        <w:tc>
          <w:tcPr>
            <w:tcW w:type="dxa" w:w="1386"/>
            <w:tcBorders>
              <w:left w:color="000000" w:sz="12" w:val="single"/>
            </w:tcBorders>
          </w:tcPr>
          <w:p w14:paraId="6A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</w:t>
            </w:r>
          </w:p>
        </w:tc>
        <w:tc>
          <w:tcPr>
            <w:tcW w:type="dxa" w:w="3430"/>
          </w:tcPr>
          <w:p w14:paraId="6B000000">
            <w:pPr>
              <w:tabs>
                <w:tab w:leader="none" w:pos="352" w:val="left"/>
                <w:tab w:leader="none" w:pos="1418" w:val="left"/>
              </w:tabs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Система технического и коммерческого учёта электроэнергии.</w:t>
            </w:r>
          </w:p>
        </w:tc>
      </w:tr>
      <w:tr>
        <w:tc>
          <w:tcPr>
            <w:tcW w:type="dxa" w:w="1491"/>
          </w:tcPr>
          <w:p w14:paraId="6C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Ё</w:t>
            </w:r>
          </w:p>
        </w:tc>
        <w:tc>
          <w:tcPr>
            <w:tcW w:type="dxa" w:w="3048"/>
            <w:tcBorders>
              <w:right w:color="000000" w:sz="12" w:val="single"/>
            </w:tcBorders>
          </w:tcPr>
          <w:p w14:paraId="6D000000">
            <w:pPr>
              <w:tabs>
                <w:tab w:leader="none" w:pos="0" w:val="left"/>
                <w:tab w:leader="none" w:pos="340" w:val="left"/>
              </w:tabs>
              <w:ind w:firstLine="0" w:lef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Измерительное оборудование (измерительные трансформаторы тока и напряжения, </w:t>
            </w:r>
            <w:r>
              <w:rPr>
                <w:rFonts w:ascii="Times New Roman" w:hAnsi="Times New Roman"/>
                <w:sz w:val="28"/>
              </w:rPr>
              <w:t>измерительные приборы).</w:t>
            </w:r>
          </w:p>
        </w:tc>
        <w:tc>
          <w:tcPr>
            <w:tcW w:type="dxa" w:w="1386"/>
            <w:tcBorders>
              <w:left w:color="000000" w:sz="12" w:val="single"/>
            </w:tcBorders>
          </w:tcPr>
          <w:p w14:paraId="6E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</w:t>
            </w:r>
          </w:p>
        </w:tc>
        <w:tc>
          <w:tcPr>
            <w:tcW w:type="dxa" w:w="3430"/>
          </w:tcPr>
          <w:p w14:paraId="6F000000">
            <w:pPr>
              <w:tabs>
                <w:tab w:leader="none" w:pos="340" w:val="left"/>
                <w:tab w:leader="none" w:pos="1418" w:val="left"/>
              </w:tabs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Система технологической связи энергосистемы и внутренней связи подстанции.</w:t>
            </w:r>
          </w:p>
        </w:tc>
      </w:tr>
      <w:tr>
        <w:tc>
          <w:tcPr>
            <w:tcW w:type="dxa" w:w="1491"/>
          </w:tcPr>
          <w:p w14:paraId="70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Ж</w:t>
            </w:r>
          </w:p>
        </w:tc>
        <w:tc>
          <w:tcPr>
            <w:tcW w:type="dxa" w:w="3048"/>
            <w:tcBorders>
              <w:right w:color="000000" w:sz="12" w:val="single"/>
            </w:tcBorders>
          </w:tcPr>
          <w:p w14:paraId="71000000">
            <w:pPr>
              <w:tabs>
                <w:tab w:leader="none" w:pos="0" w:val="left"/>
                <w:tab w:leader="none" w:pos="340" w:val="left"/>
              </w:tabs>
              <w:ind w:firstLine="0" w:lef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Оборудование ВЧ-связи между подстанциями (конденсаторы связи, ВЧ-заградители, фильтры присоединения).</w:t>
            </w:r>
          </w:p>
        </w:tc>
        <w:tc>
          <w:tcPr>
            <w:tcW w:type="dxa" w:w="1386"/>
            <w:tcBorders>
              <w:left w:color="000000" w:sz="12" w:val="single"/>
            </w:tcBorders>
          </w:tcPr>
          <w:p w14:paraId="72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Ц</w:t>
            </w:r>
          </w:p>
        </w:tc>
        <w:tc>
          <w:tcPr>
            <w:tcW w:type="dxa" w:w="3430"/>
          </w:tcPr>
          <w:p w14:paraId="73000000">
            <w:pPr>
              <w:tabs>
                <w:tab w:leader="none" w:pos="352" w:val="left"/>
                <w:tab w:leader="none" w:pos="1418" w:val="left"/>
              </w:tabs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Система заземления, включая заземлители и контур заземления.</w:t>
            </w:r>
          </w:p>
        </w:tc>
      </w:tr>
      <w:tr>
        <w:tc>
          <w:tcPr>
            <w:tcW w:type="dxa" w:w="1491"/>
          </w:tcPr>
          <w:p w14:paraId="74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</w:t>
            </w:r>
          </w:p>
        </w:tc>
        <w:tc>
          <w:tcPr>
            <w:tcW w:type="dxa" w:w="3048"/>
            <w:tcBorders>
              <w:right w:color="000000" w:sz="12" w:val="single"/>
            </w:tcBorders>
          </w:tcPr>
          <w:p w14:paraId="75000000">
            <w:pPr>
              <w:tabs>
                <w:tab w:leader="none" w:pos="0" w:val="left"/>
                <w:tab w:leader="none" w:pos="340" w:val="left"/>
              </w:tabs>
              <w:ind w:firstLine="0" w:lef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Токоограничивающие, регулирующие устройства (конденсаторные батареи, реакторы, </w:t>
            </w:r>
            <w:r>
              <w:rPr>
                <w:rFonts w:ascii="Times New Roman" w:hAnsi="Times New Roman"/>
                <w:sz w:val="28"/>
              </w:rPr>
              <w:t>фазовращатели</w:t>
            </w:r>
            <w:r>
              <w:rPr>
                <w:rFonts w:ascii="Times New Roman" w:hAnsi="Times New Roman"/>
                <w:sz w:val="28"/>
              </w:rPr>
              <w:t xml:space="preserve"> и пр.).</w:t>
            </w:r>
          </w:p>
        </w:tc>
        <w:tc>
          <w:tcPr>
            <w:tcW w:type="dxa" w:w="1386"/>
            <w:tcBorders>
              <w:left w:color="000000" w:sz="12" w:val="single"/>
            </w:tcBorders>
          </w:tcPr>
          <w:p w14:paraId="76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Ч</w:t>
            </w:r>
          </w:p>
        </w:tc>
        <w:tc>
          <w:tcPr>
            <w:tcW w:type="dxa" w:w="3430"/>
          </w:tcPr>
          <w:p w14:paraId="77000000">
            <w:pPr>
              <w:tabs>
                <w:tab w:leader="none" w:pos="352" w:val="left"/>
                <w:tab w:leader="none" w:pos="1418" w:val="left"/>
              </w:tabs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Молниезащитные</w:t>
            </w:r>
            <w:r>
              <w:rPr>
                <w:rFonts w:ascii="Times New Roman" w:hAnsi="Times New Roman"/>
                <w:sz w:val="28"/>
              </w:rPr>
              <w:t xml:space="preserve"> сооружения.</w:t>
            </w:r>
          </w:p>
        </w:tc>
      </w:tr>
      <w:tr>
        <w:tc>
          <w:tcPr>
            <w:tcW w:type="dxa" w:w="1491"/>
          </w:tcPr>
          <w:p w14:paraId="78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</w:t>
            </w:r>
          </w:p>
        </w:tc>
        <w:tc>
          <w:tcPr>
            <w:tcW w:type="dxa" w:w="3048"/>
            <w:tcBorders>
              <w:right w:color="000000" w:sz="12" w:val="single"/>
            </w:tcBorders>
          </w:tcPr>
          <w:p w14:paraId="79000000">
            <w:pPr>
              <w:tabs>
                <w:tab w:leader="none" w:pos="0" w:val="left"/>
                <w:tab w:leader="none" w:pos="352" w:val="left"/>
              </w:tabs>
              <w:ind w:firstLine="0" w:lef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Преобразователи частоты, рода тока (выпрямители).</w:t>
            </w:r>
          </w:p>
        </w:tc>
        <w:tc>
          <w:tcPr>
            <w:tcW w:type="dxa" w:w="1386"/>
            <w:tcBorders>
              <w:left w:color="000000" w:sz="12" w:val="single"/>
            </w:tcBorders>
          </w:tcPr>
          <w:p w14:paraId="7A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Ш</w:t>
            </w:r>
          </w:p>
        </w:tc>
        <w:tc>
          <w:tcPr>
            <w:tcW w:type="dxa" w:w="3430"/>
          </w:tcPr>
          <w:p w14:paraId="7B000000">
            <w:pPr>
              <w:tabs>
                <w:tab w:leader="none" w:pos="352" w:val="left"/>
                <w:tab w:leader="none" w:pos="1418" w:val="left"/>
              </w:tabs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Вспомогательные системы:</w:t>
            </w:r>
          </w:p>
        </w:tc>
      </w:tr>
      <w:tr>
        <w:tc>
          <w:tcPr>
            <w:tcW w:type="dxa" w:w="1491"/>
          </w:tcPr>
          <w:p w14:paraId="7C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</w:t>
            </w:r>
          </w:p>
        </w:tc>
        <w:tc>
          <w:tcPr>
            <w:tcW w:type="dxa" w:w="3048"/>
            <w:tcBorders>
              <w:right w:color="000000" w:sz="12" w:val="single"/>
            </w:tcBorders>
          </w:tcPr>
          <w:p w14:paraId="7D000000">
            <w:pPr>
              <w:tabs>
                <w:tab w:leader="none" w:pos="0" w:val="left"/>
                <w:tab w:leader="none" w:pos="352" w:val="left"/>
              </w:tabs>
              <w:ind w:firstLine="0" w:lef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Система питания собственных нужд подстанции:</w:t>
            </w:r>
          </w:p>
        </w:tc>
        <w:tc>
          <w:tcPr>
            <w:tcW w:type="dxa" w:w="1386"/>
            <w:tcBorders>
              <w:left w:color="000000" w:sz="12" w:val="single"/>
            </w:tcBorders>
          </w:tcPr>
          <w:p w14:paraId="7E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Щ</w:t>
            </w:r>
          </w:p>
        </w:tc>
        <w:tc>
          <w:tcPr>
            <w:tcW w:type="dxa" w:w="3430"/>
          </w:tcPr>
          <w:p w14:paraId="7F000000">
            <w:pPr>
              <w:tabs>
                <w:tab w:leader="none" w:pos="352" w:val="left"/>
                <w:tab w:leader="none" w:pos="1418" w:val="left"/>
              </w:tabs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Система вентиляции, кондиционирования, обогрева.</w:t>
            </w:r>
          </w:p>
        </w:tc>
      </w:tr>
      <w:tr>
        <w:tc>
          <w:tcPr>
            <w:tcW w:type="dxa" w:w="1491"/>
          </w:tcPr>
          <w:p w14:paraId="80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</w:t>
            </w:r>
          </w:p>
        </w:tc>
        <w:tc>
          <w:tcPr>
            <w:tcW w:type="dxa" w:w="3048"/>
            <w:tcBorders>
              <w:right w:color="000000" w:sz="12" w:val="single"/>
            </w:tcBorders>
          </w:tcPr>
          <w:p w14:paraId="81000000">
            <w:pPr>
              <w:tabs>
                <w:tab w:leader="none" w:pos="0" w:val="left"/>
                <w:tab w:leader="none" w:pos="352" w:val="left"/>
              </w:tabs>
              <w:ind w:firstLine="0" w:lef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Трансформаторы собственных нужд.</w:t>
            </w:r>
          </w:p>
        </w:tc>
        <w:tc>
          <w:tcPr>
            <w:tcW w:type="dxa" w:w="1386"/>
            <w:tcBorders>
              <w:left w:color="000000" w:sz="12" w:val="single"/>
            </w:tcBorders>
          </w:tcPr>
          <w:p w14:paraId="82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Ы</w:t>
            </w:r>
          </w:p>
        </w:tc>
        <w:tc>
          <w:tcPr>
            <w:tcW w:type="dxa" w:w="3430"/>
          </w:tcPr>
          <w:p w14:paraId="83000000">
            <w:pPr>
              <w:tabs>
                <w:tab w:leader="none" w:pos="352" w:val="left"/>
                <w:tab w:leader="none" w:pos="1418" w:val="left"/>
              </w:tabs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Система автоматического пожаротушения.</w:t>
            </w:r>
          </w:p>
        </w:tc>
      </w:tr>
      <w:tr>
        <w:tc>
          <w:tcPr>
            <w:tcW w:type="dxa" w:w="1491"/>
          </w:tcPr>
          <w:p w14:paraId="84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</w:t>
            </w:r>
          </w:p>
        </w:tc>
        <w:tc>
          <w:tcPr>
            <w:tcW w:type="dxa" w:w="3048"/>
            <w:tcBorders>
              <w:right w:color="000000" w:sz="12" w:val="single"/>
            </w:tcBorders>
          </w:tcPr>
          <w:p w14:paraId="85000000">
            <w:pPr>
              <w:tabs>
                <w:tab w:leader="none" w:pos="0" w:val="left"/>
                <w:tab w:leader="none" w:pos="352" w:val="left"/>
              </w:tabs>
              <w:ind w:firstLine="0" w:lef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Щит переменного тока.</w:t>
            </w:r>
          </w:p>
        </w:tc>
        <w:tc>
          <w:tcPr>
            <w:tcW w:type="dxa" w:w="1386"/>
            <w:tcBorders>
              <w:left w:color="000000" w:sz="12" w:val="single"/>
            </w:tcBorders>
          </w:tcPr>
          <w:p w14:paraId="86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Э</w:t>
            </w:r>
          </w:p>
        </w:tc>
        <w:tc>
          <w:tcPr>
            <w:tcW w:type="dxa" w:w="3430"/>
          </w:tcPr>
          <w:p w14:paraId="87000000">
            <w:pPr>
              <w:tabs>
                <w:tab w:leader="none" w:pos="352" w:val="left"/>
                <w:tab w:leader="none" w:pos="1418" w:val="left"/>
              </w:tabs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Система освещения территории.</w:t>
            </w:r>
          </w:p>
        </w:tc>
      </w:tr>
      <w:tr>
        <w:tc>
          <w:tcPr>
            <w:tcW w:type="dxa" w:w="1491"/>
          </w:tcPr>
          <w:p w14:paraId="88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</w:t>
            </w:r>
          </w:p>
        </w:tc>
        <w:tc>
          <w:tcPr>
            <w:tcW w:type="dxa" w:w="3048"/>
            <w:tcBorders>
              <w:right w:color="000000" w:sz="12" w:val="single"/>
            </w:tcBorders>
          </w:tcPr>
          <w:p w14:paraId="89000000">
            <w:pPr>
              <w:tabs>
                <w:tab w:leader="none" w:pos="0" w:val="left"/>
                <w:tab w:leader="none" w:pos="352" w:val="left"/>
              </w:tabs>
              <w:ind w:firstLine="0" w:lef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Аккумуляторные батареи.</w:t>
            </w:r>
          </w:p>
        </w:tc>
        <w:tc>
          <w:tcPr>
            <w:tcW w:type="dxa" w:w="1386"/>
            <w:tcBorders>
              <w:left w:color="000000" w:sz="12" w:val="single"/>
            </w:tcBorders>
          </w:tcPr>
          <w:p w14:paraId="8A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Ю</w:t>
            </w:r>
          </w:p>
        </w:tc>
        <w:tc>
          <w:tcPr>
            <w:tcW w:type="dxa" w:w="3430"/>
          </w:tcPr>
          <w:p w14:paraId="8B000000">
            <w:pPr>
              <w:tabs>
                <w:tab w:leader="none" w:pos="352" w:val="left"/>
                <w:tab w:leader="none" w:pos="1418" w:val="left"/>
              </w:tabs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Система охранно-пожарной сигнализации, управления доступом.</w:t>
            </w:r>
          </w:p>
        </w:tc>
      </w:tr>
      <w:tr>
        <w:tc>
          <w:tcPr>
            <w:tcW w:type="dxa" w:w="1491"/>
          </w:tcPr>
          <w:p w14:paraId="8C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</w:t>
            </w:r>
          </w:p>
        </w:tc>
        <w:tc>
          <w:tcPr>
            <w:tcW w:type="dxa" w:w="3048"/>
            <w:tcBorders>
              <w:right w:color="000000" w:sz="12" w:val="single"/>
            </w:tcBorders>
          </w:tcPr>
          <w:p w14:paraId="8D000000">
            <w:pPr>
              <w:tabs>
                <w:tab w:leader="none" w:pos="0" w:val="left"/>
                <w:tab w:leader="none" w:pos="352" w:val="left"/>
              </w:tabs>
              <w:ind w:firstLine="0" w:left="3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Щит постоянного (оперативного) тока.</w:t>
            </w:r>
          </w:p>
        </w:tc>
        <w:tc>
          <w:tcPr>
            <w:tcW w:type="dxa" w:w="1386"/>
            <w:tcBorders>
              <w:left w:color="000000" w:sz="12" w:val="single"/>
            </w:tcBorders>
          </w:tcPr>
          <w:p w14:paraId="8E000000">
            <w:pPr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Я</w:t>
            </w:r>
          </w:p>
        </w:tc>
        <w:tc>
          <w:tcPr>
            <w:tcW w:type="dxa" w:w="3430"/>
          </w:tcPr>
          <w:p w14:paraId="8F000000">
            <w:pPr>
              <w:tabs>
                <w:tab w:leader="none" w:pos="352" w:val="left"/>
                <w:tab w:leader="none" w:pos="1418" w:val="left"/>
              </w:tabs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Система технологического и охранного видеонаблюдения.</w:t>
            </w:r>
          </w:p>
        </w:tc>
      </w:tr>
    </w:tbl>
    <w:p w14:paraId="90000000">
      <w:pPr>
        <w:spacing w:after="0" w:line="360" w:lineRule="auto"/>
        <w:ind w:firstLine="709" w:left="0"/>
        <w:jc w:val="right"/>
        <w:rPr>
          <w:rFonts w:ascii="Times New Roman" w:hAnsi="Times New Roman"/>
          <w:sz w:val="28"/>
        </w:rPr>
      </w:pPr>
    </w:p>
    <w:p w14:paraId="91000000">
      <w:pPr>
        <w:tabs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</w:t>
      </w:r>
      <w:r>
        <w:rPr>
          <w:rFonts w:ascii="Times New Roman" w:hAnsi="Times New Roman"/>
          <w:sz w:val="28"/>
        </w:rPr>
        <w:t>Сформулир</w:t>
      </w:r>
      <w:r>
        <w:rPr>
          <w:rFonts w:ascii="Times New Roman" w:hAnsi="Times New Roman"/>
          <w:sz w:val="28"/>
        </w:rPr>
        <w:t>уйте</w:t>
      </w:r>
      <w:r>
        <w:rPr>
          <w:rFonts w:ascii="Times New Roman" w:hAnsi="Times New Roman"/>
          <w:sz w:val="28"/>
        </w:rPr>
        <w:t xml:space="preserve"> выводы по проделанной работе согласно цели и поставленных задач</w:t>
      </w:r>
      <w:r>
        <w:rPr>
          <w:rFonts w:ascii="Times New Roman" w:hAnsi="Times New Roman"/>
          <w:sz w:val="28"/>
        </w:rPr>
        <w:t>:</w:t>
      </w:r>
    </w:p>
    <w:p w14:paraId="92000000">
      <w:pPr>
        <w:pStyle w:val="Style_2"/>
        <w:numPr>
          <w:ilvl w:val="0"/>
          <w:numId w:val="3"/>
        </w:numPr>
        <w:spacing w:after="0" w:line="360" w:lineRule="auto"/>
        <w:ind w:firstLine="709" w:left="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Назначение подстанции 110/10 кВ и ее место в электроэнергетической системе.</w:t>
      </w:r>
    </w:p>
    <w:p w14:paraId="93000000">
      <w:pPr>
        <w:pStyle w:val="Style_2"/>
        <w:numPr>
          <w:ilvl w:val="0"/>
          <w:numId w:val="3"/>
        </w:numPr>
        <w:spacing w:after="0" w:line="360" w:lineRule="auto"/>
        <w:ind w:firstLine="709" w:left="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Любой вывод в произвольной форме применительно к Вашему подробно описанному элементу.</w:t>
      </w:r>
    </w:p>
    <w:p w14:paraId="94000000">
      <w:pPr>
        <w:tabs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>
        <w:rPr>
          <w:rFonts w:ascii="Times New Roman" w:hAnsi="Times New Roman"/>
          <w:sz w:val="28"/>
        </w:rPr>
        <w:t>Оформит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отчет согласно структуре, приведенной ниже, и прикрепить его в курс для проверки.</w:t>
      </w:r>
    </w:p>
    <w:p w14:paraId="95000000">
      <w:pPr>
        <w:pStyle w:val="Style_1"/>
        <w:spacing w:line="360" w:lineRule="auto"/>
        <w:ind w:firstLine="709" w:left="0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>6. Структура отчета по проделанной работе</w:t>
      </w:r>
    </w:p>
    <w:p w14:paraId="96000000">
      <w:pPr>
        <w:pStyle w:val="Style_2"/>
        <w:numPr>
          <w:ilvl w:val="0"/>
          <w:numId w:val="4"/>
        </w:numPr>
        <w:tabs>
          <w:tab w:leader="none" w:pos="1418" w:val="left"/>
        </w:tabs>
        <w:spacing w:after="0" w:line="360" w:lineRule="auto"/>
        <w:ind w:firstLine="709" w:left="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Титульный лист (стандартный, прикреплен в курсе)</w:t>
      </w:r>
    </w:p>
    <w:p w14:paraId="97000000">
      <w:pPr>
        <w:pStyle w:val="Style_2"/>
        <w:numPr>
          <w:ilvl w:val="0"/>
          <w:numId w:val="4"/>
        </w:numPr>
        <w:tabs>
          <w:tab w:leader="none" w:pos="1418" w:val="left"/>
        </w:tabs>
        <w:spacing w:after="0" w:line="360" w:lineRule="auto"/>
        <w:ind w:firstLine="709" w:left="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 и задачи работы</w:t>
      </w:r>
      <w:r>
        <w:rPr>
          <w:rFonts w:ascii="Times New Roman" w:hAnsi="Times New Roman"/>
          <w:sz w:val="28"/>
        </w:rPr>
        <w:t xml:space="preserve"> </w:t>
      </w:r>
    </w:p>
    <w:p w14:paraId="98000000">
      <w:pPr>
        <w:pStyle w:val="Style_2"/>
        <w:numPr>
          <w:ilvl w:val="0"/>
          <w:numId w:val="4"/>
        </w:numPr>
        <w:tabs>
          <w:tab w:leader="none" w:pos="1418" w:val="left"/>
        </w:tabs>
        <w:spacing w:after="0" w:line="360" w:lineRule="auto"/>
        <w:ind w:firstLine="709" w:left="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Кратко</w:t>
      </w:r>
      <w:r>
        <w:rPr>
          <w:rFonts w:ascii="Times New Roman" w:hAnsi="Times New Roman"/>
          <w:sz w:val="28"/>
        </w:rPr>
        <w:t>е описание</w:t>
      </w:r>
      <w:r>
        <w:rPr>
          <w:rFonts w:ascii="Times New Roman" w:hAnsi="Times New Roman"/>
          <w:sz w:val="28"/>
        </w:rPr>
        <w:t xml:space="preserve"> внешн</w:t>
      </w:r>
      <w:r>
        <w:rPr>
          <w:rFonts w:ascii="Times New Roman" w:hAnsi="Times New Roman"/>
          <w:sz w:val="28"/>
        </w:rPr>
        <w:t>его</w:t>
      </w:r>
      <w:r>
        <w:rPr>
          <w:rFonts w:ascii="Times New Roman" w:hAnsi="Times New Roman"/>
          <w:sz w:val="28"/>
        </w:rPr>
        <w:t xml:space="preserve"> вид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каждого обнаруженного и идентифицированного элемента </w:t>
      </w:r>
    </w:p>
    <w:p w14:paraId="99000000">
      <w:pPr>
        <w:pStyle w:val="Style_2"/>
        <w:numPr>
          <w:ilvl w:val="0"/>
          <w:numId w:val="4"/>
        </w:numPr>
        <w:tabs>
          <w:tab w:leader="none" w:pos="1418" w:val="left"/>
        </w:tabs>
        <w:spacing w:after="0" w:line="360" w:lineRule="auto"/>
        <w:ind w:firstLine="709" w:left="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Подробное описание одного элемента из таблицы 1, номер которого соответствует порядковому номеру первой буквы Вашей фамилии. </w:t>
      </w:r>
    </w:p>
    <w:p w14:paraId="9A000000">
      <w:pPr>
        <w:pStyle w:val="Style_2"/>
        <w:numPr>
          <w:ilvl w:val="0"/>
          <w:numId w:val="4"/>
        </w:numPr>
        <w:tabs>
          <w:tab w:leader="none" w:pos="1418" w:val="left"/>
        </w:tabs>
        <w:spacing w:after="0" w:line="360" w:lineRule="auto"/>
        <w:ind w:firstLine="709" w:left="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Выводы по работе.</w:t>
      </w:r>
    </w:p>
    <w:p w14:paraId="9B000000"/>
    <w:p w14:paraId="9C000000">
      <w:r>
        <w:br w:type="page"/>
      </w:r>
    </w:p>
    <w:p w14:paraId="9D000000">
      <w:pPr>
        <w:pStyle w:val="Style_1"/>
        <w:spacing w:line="360" w:lineRule="auto"/>
        <w:ind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Лабораторная работа № 2 «Осмотр силовых трансформаторов подстанции» по курсу «Электрические станции и подстанции»</w:t>
      </w:r>
    </w:p>
    <w:p w14:paraId="9E000000">
      <w:pPr>
        <w:spacing w:after="0" w:line="36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Раздел</w:t>
      </w:r>
      <w:r>
        <w:rPr>
          <w:rFonts w:ascii="Times New Roman" w:hAnsi="Times New Roman"/>
          <w:b w:val="1"/>
          <w:sz w:val="28"/>
        </w:rPr>
        <w:t xml:space="preserve"> 5. Собственные нужды электростанций и подстанций. Системы измерений</w:t>
      </w:r>
      <w:r>
        <w:rPr>
          <w:rFonts w:ascii="Times New Roman" w:hAnsi="Times New Roman"/>
          <w:b w:val="1"/>
          <w:sz w:val="28"/>
        </w:rPr>
        <w:t>.</w:t>
      </w:r>
    </w:p>
    <w:p w14:paraId="9F000000">
      <w:pPr>
        <w:spacing w:after="0" w:before="12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Цель работы</w:t>
      </w:r>
      <w:r>
        <w:rPr>
          <w:rFonts w:ascii="Times New Roman" w:hAnsi="Times New Roman"/>
          <w:b w:val="1"/>
          <w:sz w:val="28"/>
        </w:rPr>
        <w:t xml:space="preserve"> –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изучение особенностей конструкции силовых трансформаторов и порядка их осмотра.</w:t>
      </w:r>
    </w:p>
    <w:p w14:paraId="A0000000">
      <w:pPr>
        <w:spacing w:after="0" w:line="36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Задачи работы: </w:t>
      </w:r>
    </w:p>
    <w:p w14:paraId="A1000000">
      <w:pPr>
        <w:pStyle w:val="Style_2"/>
        <w:numPr>
          <w:ilvl w:val="0"/>
          <w:numId w:val="5"/>
        </w:numPr>
        <w:spacing w:after="0" w:line="360" w:lineRule="auto"/>
        <w:ind w:firstLine="709" w:left="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Углубление теоретических знаний о силовых трансформаторах.</w:t>
      </w:r>
    </w:p>
    <w:p w14:paraId="A2000000">
      <w:pPr>
        <w:pStyle w:val="Style_2"/>
        <w:numPr>
          <w:ilvl w:val="0"/>
          <w:numId w:val="5"/>
        </w:numPr>
        <w:spacing w:after="0" w:line="360" w:lineRule="auto"/>
        <w:ind w:firstLine="709" w:left="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Формирование навыков идентификации основных </w:t>
      </w:r>
      <w:r>
        <w:rPr>
          <w:rFonts w:ascii="Times New Roman" w:hAnsi="Times New Roman"/>
          <w:sz w:val="28"/>
        </w:rPr>
        <w:t xml:space="preserve">элементов </w:t>
      </w:r>
      <w:r>
        <w:rPr>
          <w:rFonts w:ascii="Times New Roman" w:hAnsi="Times New Roman"/>
          <w:sz w:val="28"/>
        </w:rPr>
        <w:t xml:space="preserve">трансформаторов </w:t>
      </w:r>
      <w:r>
        <w:rPr>
          <w:rFonts w:ascii="Times New Roman" w:hAnsi="Times New Roman"/>
          <w:sz w:val="28"/>
        </w:rPr>
        <w:t>по внешнему виду</w:t>
      </w:r>
      <w:r>
        <w:rPr>
          <w:rFonts w:ascii="Times New Roman" w:hAnsi="Times New Roman"/>
          <w:sz w:val="28"/>
        </w:rPr>
        <w:t>.</w:t>
      </w:r>
    </w:p>
    <w:p w14:paraId="A3000000">
      <w:pPr>
        <w:pStyle w:val="Style_2"/>
        <w:numPr>
          <w:ilvl w:val="0"/>
          <w:numId w:val="5"/>
        </w:numPr>
        <w:spacing w:after="0" w:line="360" w:lineRule="auto"/>
        <w:ind w:firstLine="709" w:left="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Изучение характеристик </w:t>
      </w:r>
      <w:r>
        <w:rPr>
          <w:rFonts w:ascii="Times New Roman" w:hAnsi="Times New Roman"/>
          <w:sz w:val="28"/>
        </w:rPr>
        <w:t xml:space="preserve">основных </w:t>
      </w:r>
      <w:r>
        <w:rPr>
          <w:rFonts w:ascii="Times New Roman" w:hAnsi="Times New Roman"/>
          <w:sz w:val="28"/>
        </w:rPr>
        <w:t xml:space="preserve">элементов </w:t>
      </w:r>
      <w:r>
        <w:rPr>
          <w:rFonts w:ascii="Times New Roman" w:hAnsi="Times New Roman"/>
          <w:sz w:val="28"/>
        </w:rPr>
        <w:t>силового трансформатора</w:t>
      </w:r>
      <w:r>
        <w:rPr>
          <w:rFonts w:ascii="Times New Roman" w:hAnsi="Times New Roman"/>
          <w:sz w:val="28"/>
        </w:rPr>
        <w:t>.</w:t>
      </w:r>
    </w:p>
    <w:p w14:paraId="A4000000">
      <w:pPr>
        <w:pStyle w:val="Style_1"/>
        <w:spacing w:line="360" w:lineRule="auto"/>
        <w:ind w:firstLine="709" w:left="0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>1. Порядок запуска виртуальной лабораторной работы (ВЛР)</w:t>
      </w:r>
    </w:p>
    <w:p w14:paraId="A5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Получите доступ к виртуальному рабочему столу. Инструкция по доступу прилагается к заданию в курсе.</w:t>
      </w:r>
    </w:p>
    <w:p w14:paraId="A6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</w:t>
      </w:r>
      <w:r>
        <w:rPr>
          <w:rFonts w:ascii="Times New Roman" w:hAnsi="Times New Roman"/>
          <w:sz w:val="28"/>
        </w:rPr>
        <w:t xml:space="preserve">Откройте на виртуальном рабочем столе папку </w:t>
      </w:r>
      <w:r>
        <w:rPr>
          <w:rFonts w:ascii="Times New Roman" w:hAnsi="Times New Roman"/>
          <w:b w:val="1"/>
          <w:sz w:val="28"/>
        </w:rPr>
        <w:t>«Лабораторные работы»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выберите папку «</w:t>
      </w:r>
      <w:r>
        <w:rPr>
          <w:rFonts w:ascii="Times New Roman" w:hAnsi="Times New Roman"/>
          <w:sz w:val="28"/>
        </w:rPr>
        <w:t>ЕМАКЕТ</w:t>
      </w:r>
      <w:r>
        <w:rPr>
          <w:rFonts w:ascii="Times New Roman" w:hAnsi="Times New Roman"/>
          <w:sz w:val="28"/>
        </w:rPr>
        <w:t>», в ней</w:t>
      </w:r>
      <w:r>
        <w:rPr>
          <w:rFonts w:ascii="Times New Roman" w:hAnsi="Times New Roman"/>
          <w:sz w:val="28"/>
        </w:rPr>
        <w:t xml:space="preserve"> запустите двойным щелчком программу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eLabsClient</w:t>
      </w:r>
      <w:r>
        <w:rPr>
          <w:rFonts w:ascii="Times New Roman" w:hAnsi="Times New Roman"/>
          <w:sz w:val="28"/>
        </w:rPr>
        <w:t>.</w:t>
      </w:r>
    </w:p>
    <w:p w14:paraId="A7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В правой части экрана Вы можете ознакомиться с руководством пользователя по интерфейсу программы.</w:t>
      </w:r>
    </w:p>
    <w:p w14:paraId="A8000000">
      <w:pPr>
        <w:tabs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В левой части экрана в списке доступных продуктов нажмите на блок «Оборудование электрических станций и подстанций», чтобы развернуть список и кликните по названию работы «</w:t>
      </w:r>
      <w:r>
        <w:rPr>
          <w:rFonts w:ascii="Times New Roman" w:hAnsi="Times New Roman"/>
          <w:sz w:val="28"/>
        </w:rPr>
        <w:t>Осмотр силовых трансформаторов подстанции</w:t>
      </w:r>
      <w:r>
        <w:rPr>
          <w:rFonts w:ascii="Times New Roman" w:hAnsi="Times New Roman"/>
          <w:sz w:val="28"/>
        </w:rPr>
        <w:t>» для запуска. В появившемся окне нажмите кнопку «Запустить».</w:t>
      </w:r>
    </w:p>
    <w:p w14:paraId="A9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Подведите курсор к правому верхнему углу экрана – появится пиктограмма листка бумаги - это методическое пособие к лабораторной работе. Щелкните по ней, чтобы развернуть и ознакомиться. </w:t>
      </w:r>
    </w:p>
    <w:p w14:paraId="AA000000">
      <w:pPr>
        <w:spacing w:after="0" w:line="360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inline>
                <wp:extent cx="1509623" cy="703565"/>
                <wp:docPr hidden="false" id="16" name="Picture 16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1509623" cy="703565"/>
                          <a:chOff x="0" y="0"/>
                          <a:chExt cx="1509623" cy="703565"/>
                        </a:xfrm>
                      </wpg:grpSpPr>
                      <wps:wsp>
                        <wps:cNvSpPr txBox="false"/>
                        <wps:spPr>
                          <a:xfrm flipH="false" flipV="true" rot="0">
                            <a:off x="107101" y="142752"/>
                            <a:ext cx="469207" cy="438453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prstDash val="solid"/>
                            <a:tailEnd len="med" type="arrow" w="med"/>
                          </a:ln>
                        </wps:spPr>
                        <wps:style>
                          <a:lnRef idx="0"/>
                          <a:fillRef idx="0">
                            <a:schemeClr val="accent1"/>
                          </a:fillRef>
                          <a:effectRef idx="0"/>
                          <a:fontRef idx="none"/>
                        </wps:style>
                        <wps:bodyPr bIns="45720" lIns="91440" rIns="91440" tIns="45720"/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AB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Второй щелчок по этой пиктограмме свернет методическое пособие.</w:t>
      </w:r>
    </w:p>
    <w:p w14:paraId="AC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AD000000">
      <w:pPr>
        <w:pStyle w:val="Style_1"/>
        <w:spacing w:line="360" w:lineRule="auto"/>
        <w:ind w:firstLine="709" w:left="0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 xml:space="preserve">2. </w:t>
      </w:r>
      <w:r>
        <w:rPr>
          <w:rFonts w:ascii="Times New Roman" w:hAnsi="Times New Roman"/>
          <w:b w:val="1"/>
          <w:color w:themeColor="text1" w:val="000000"/>
          <w:sz w:val="28"/>
        </w:rPr>
        <w:t>Управление ВЛР</w:t>
      </w:r>
    </w:p>
    <w:p w14:paraId="AE000000">
      <w:pPr>
        <w:tabs>
          <w:tab w:leader="none" w:pos="1418" w:val="left"/>
        </w:tabs>
        <w:spacing w:after="0" w:line="33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виртуальной лаборатории и</w:t>
      </w:r>
      <w:r>
        <w:rPr>
          <w:rFonts w:ascii="Times New Roman" w:hAnsi="Times New Roman"/>
          <w:sz w:val="28"/>
        </w:rPr>
        <w:t>спользуются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стандартные средства управления</w:t>
      </w:r>
      <w:r>
        <w:rPr>
          <w:rFonts w:ascii="Times New Roman" w:hAnsi="Times New Roman"/>
          <w:sz w:val="28"/>
        </w:rPr>
        <w:t>:</w:t>
      </w:r>
    </w:p>
    <w:tbl>
      <w:tblPr>
        <w:tblStyle w:val="Style_3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3426"/>
        <w:gridCol w:w="5929"/>
      </w:tblGrid>
      <w:tr>
        <w:tc>
          <w:tcPr>
            <w:tcW w:type="dxa" w:w="342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AF000000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4"/>
              </w:rPr>
              <w:drawing>
                <wp:inline>
                  <wp:extent cx="2036140" cy="1354348"/>
                  <wp:effectExtent b="0" l="0" r="0" t="0"/>
                  <wp:docPr hidden="false" id="17" name="Picture 17"/>
                  <a:graphic>
                    <a:graphicData uri="http://schemas.openxmlformats.org/drawingml/2006/picture">
                      <pic:pic>
                        <pic:nvPicPr>
                          <pic:cNvPr hidden="false" id="18" name="Picture 18"/>
                          <pic:cNvPicPr preferRelativeResize="true"/>
                        </pic:nvPicPr>
                        <pic:blipFill>
                          <a:blip r:embed="rId8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2036140" cy="13543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929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B0000000">
            <w:pPr>
              <w:spacing w:line="336" w:lineRule="auto"/>
              <w:ind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Клавиши клавиатуры:</w:t>
            </w:r>
          </w:p>
          <w:p w14:paraId="B1000000">
            <w:pPr>
              <w:spacing w:line="336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«W» </w:t>
            </w: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Перемещение вперед;</w:t>
            </w:r>
          </w:p>
          <w:p w14:paraId="B2000000">
            <w:pPr>
              <w:spacing w:line="336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«S» </w:t>
            </w: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Перемещение назад;</w:t>
            </w:r>
          </w:p>
          <w:p w14:paraId="B3000000">
            <w:pPr>
              <w:spacing w:line="336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«A» </w:t>
            </w: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Перемещение влево;</w:t>
            </w:r>
          </w:p>
          <w:p w14:paraId="B4000000">
            <w:pPr>
              <w:spacing w:line="336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«D» </w:t>
            </w: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Перемещение вправо.</w:t>
            </w:r>
          </w:p>
        </w:tc>
      </w:tr>
      <w:tr>
        <w:tc>
          <w:tcPr>
            <w:tcW w:type="dxa" w:w="342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B5000000">
            <w:pPr>
              <w:spacing w:line="36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drawing>
                <wp:inline>
                  <wp:extent cx="1828800" cy="2674210"/>
                  <wp:effectExtent b="0" l="0" r="0" t="0"/>
                  <wp:docPr hidden="false" id="19" name="Picture 19"/>
                  <a:graphic>
                    <a:graphicData uri="http://schemas.openxmlformats.org/drawingml/2006/picture">
                      <pic:pic>
                        <pic:nvPicPr>
                          <pic:cNvPr hidden="false" id="20" name="Picture 20"/>
                          <pic:cNvPicPr preferRelativeResize="true"/>
                        </pic:nvPicPr>
                        <pic:blipFill>
                          <a:blip r:embed="rId9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1828800" cy="267421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929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B6000000">
            <w:pPr>
              <w:spacing w:line="36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Правая клавиша мыши</w:t>
            </w:r>
          </w:p>
          <w:p w14:paraId="B7000000">
            <w:pPr>
              <w:tabs>
                <w:tab w:leader="none" w:pos="5180" w:val="left"/>
                <w:tab w:leader="none" w:pos="7200" w:val="left"/>
                <w:tab w:leader="none" w:pos="9560" w:val="left"/>
              </w:tabs>
              <w:spacing w:line="36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Для изменения направления взгляда (поворота головы) используется перемещение манипулятора мышь с нажатой правой клавишей.</w:t>
            </w:r>
          </w:p>
          <w:p w14:paraId="B8000000">
            <w:pPr>
              <w:spacing w:line="36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Левая клавиша мыши</w:t>
            </w:r>
          </w:p>
          <w:p w14:paraId="B9000000">
            <w:pPr>
              <w:spacing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Для нажатия на объект, его перемещения, поворота и т.д. используется нажатие левой клавиши.</w:t>
            </w:r>
          </w:p>
          <w:p w14:paraId="BA000000">
            <w:pPr>
              <w:spacing w:line="288" w:lineRule="auto"/>
              <w:ind/>
              <w:jc w:val="both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Для перемещения или вращения объекта</w:t>
            </w:r>
            <w:r>
              <w:rPr>
                <w:rFonts w:ascii="Times New Roman" w:hAnsi="Times New Roman"/>
                <w:sz w:val="28"/>
              </w:rPr>
              <w:t>, необходимо выполнить нажатие на объекте левой клавишей и произвести перемещение манипулятора не отпуская клавишу.</w:t>
            </w:r>
          </w:p>
        </w:tc>
      </w:tr>
    </w:tbl>
    <w:p w14:paraId="BB000000">
      <w:pPr>
        <w:ind w:firstLine="0" w:left="360"/>
        <w:jc w:val="both"/>
        <w:rPr>
          <w:rFonts w:ascii="Times New Roman" w:hAnsi="Times New Roman"/>
          <w:sz w:val="28"/>
        </w:rPr>
      </w:pPr>
    </w:p>
    <w:p w14:paraId="BC000000">
      <w:pPr>
        <w:spacing w:after="0" w:before="240" w:line="360" w:lineRule="auto"/>
        <w:ind w:firstLine="709" w:left="0"/>
        <w:jc w:val="both"/>
        <w:outlineLvl w:val="0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 xml:space="preserve">3. </w:t>
      </w:r>
      <w:r>
        <w:rPr>
          <w:rFonts w:ascii="Times New Roman" w:hAnsi="Times New Roman"/>
          <w:b w:val="1"/>
          <w:color w:themeColor="text1" w:val="000000"/>
          <w:sz w:val="28"/>
        </w:rPr>
        <w:t>Краткая теория</w:t>
      </w:r>
    </w:p>
    <w:p w14:paraId="BD000000">
      <w:pPr>
        <w:spacing w:after="0" w:line="36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Трансформатор предназначен для преобразования переменного напряжения и тока с целью изменения их величин. Силовые трансформаторы применяются в системах электроснабжения различных уровней – от электрических подстанций до бытовой аппаратуры. Кроме силовых, </w:t>
      </w:r>
      <w:r>
        <w:rPr>
          <w:rFonts w:ascii="Times New Roman" w:hAnsi="Times New Roman"/>
          <w:sz w:val="28"/>
        </w:rPr>
        <w:t>существуют еще трансформаторы измерительные, согласующие и некоторые другие, которые в настоящей работе не рассматриваются.</w:t>
      </w:r>
    </w:p>
    <w:p w14:paraId="BE000000">
      <w:pPr>
        <w:spacing w:after="0" w:line="36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Простейший однофазный трансформатор состоит из </w:t>
      </w:r>
      <w:r>
        <w:rPr>
          <w:rFonts w:ascii="Times New Roman" w:hAnsi="Times New Roman"/>
          <w:sz w:val="28"/>
        </w:rPr>
        <w:t>магнитопровода</w:t>
      </w:r>
      <w:r>
        <w:rPr>
          <w:rFonts w:ascii="Times New Roman" w:hAnsi="Times New Roman"/>
          <w:sz w:val="28"/>
        </w:rPr>
        <w:t xml:space="preserve"> и двух обмоток. Его работа основана на законе электромагнитной индукции. Переменный ток в первичной обмотке создает пульсирующий магнитный поток в </w:t>
      </w:r>
      <w:r>
        <w:rPr>
          <w:rFonts w:ascii="Times New Roman" w:hAnsi="Times New Roman"/>
          <w:sz w:val="28"/>
        </w:rPr>
        <w:t>магнитопроводе</w:t>
      </w:r>
      <w:r>
        <w:rPr>
          <w:rFonts w:ascii="Times New Roman" w:hAnsi="Times New Roman"/>
          <w:sz w:val="28"/>
        </w:rPr>
        <w:t xml:space="preserve">, который наводит во вторичной обмотке электродвижущую силу. Габариты </w:t>
      </w:r>
      <w:r>
        <w:rPr>
          <w:rFonts w:ascii="Times New Roman" w:hAnsi="Times New Roman"/>
          <w:sz w:val="28"/>
        </w:rPr>
        <w:t>магнитопровода</w:t>
      </w:r>
      <w:r>
        <w:rPr>
          <w:rFonts w:ascii="Times New Roman" w:hAnsi="Times New Roman"/>
          <w:sz w:val="28"/>
        </w:rPr>
        <w:t xml:space="preserve"> определяют максимальную мощность, которую трансформатор может преобразовать. Напряжения на обмотках пропорциональны числу их витков.</w:t>
      </w:r>
    </w:p>
    <w:p w14:paraId="BF000000">
      <w:pPr>
        <w:spacing w:after="0" w:line="36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сетях трехфазного переменного тока можно использовать три однофазных трансформатора, но это неэкономично. По этой причине трехфазные трансформаторы изготавливают на общем </w:t>
      </w:r>
      <w:r>
        <w:rPr>
          <w:rFonts w:ascii="Times New Roman" w:hAnsi="Times New Roman"/>
          <w:sz w:val="28"/>
        </w:rPr>
        <w:t>магнитопроводе</w:t>
      </w:r>
      <w:r>
        <w:rPr>
          <w:rFonts w:ascii="Times New Roman" w:hAnsi="Times New Roman"/>
          <w:sz w:val="28"/>
        </w:rPr>
        <w:t>, однако принцип их работы не отличается от вышерассмотренного.</w:t>
      </w:r>
    </w:p>
    <w:p w14:paraId="C0000000">
      <w:pPr>
        <w:spacing w:after="0" w:before="240" w:line="360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Вводы трансформатора</w:t>
      </w:r>
    </w:p>
    <w:p w14:paraId="C1000000">
      <w:pPr>
        <w:spacing w:after="0" w:line="36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Подвод питающего напряжения и подключение нагрузки к трансформатору производится с помощью так называемых «вводов». В сухих трансформаторах они могут быть выведены на </w:t>
      </w:r>
      <w:r>
        <w:rPr>
          <w:rFonts w:ascii="Times New Roman" w:hAnsi="Times New Roman"/>
          <w:sz w:val="28"/>
        </w:rPr>
        <w:t>клеммную</w:t>
      </w:r>
      <w:r>
        <w:rPr>
          <w:rFonts w:ascii="Times New Roman" w:hAnsi="Times New Roman"/>
          <w:sz w:val="28"/>
        </w:rPr>
        <w:t xml:space="preserve"> колодку в виде болтовых контактов или соединителей с плоскими контактами и могут размещаться как снаружи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так и внутри съёмного корпуса. В масляных (или заполненных синтетическими жидкостями) трансформаторах вводы располагаются только снаружи. Они представляют собой медные или латунные шпильки с нарезанной на них резьбой. Изолирование шпилек от корпуса осуществляется с помощью проходных изоляторов (изготовляемых из специального фарфора или пластмассы), внутри которых проходят шпильки. Уплотнение всех зазоров во вводах осуществляется прокладками из специальной </w:t>
      </w:r>
      <w:r>
        <w:rPr>
          <w:rFonts w:ascii="Times New Roman" w:hAnsi="Times New Roman"/>
          <w:sz w:val="28"/>
        </w:rPr>
        <w:t>маслобензостойкой</w:t>
      </w:r>
      <w:r>
        <w:rPr>
          <w:rFonts w:ascii="Times New Roman" w:hAnsi="Times New Roman"/>
          <w:sz w:val="28"/>
        </w:rPr>
        <w:t xml:space="preserve"> резины.</w:t>
      </w:r>
    </w:p>
    <w:p w14:paraId="C2000000">
      <w:pPr>
        <w:spacing w:after="0" w:line="360" w:lineRule="auto"/>
        <w:ind w:firstLine="708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>По конструктивному исполнению различают:</w:t>
      </w:r>
    </w:p>
    <w:p w14:paraId="C3000000">
      <w:pPr>
        <w:numPr>
          <w:ilvl w:val="0"/>
          <w:numId w:val="6"/>
        </w:numPr>
        <w:tabs>
          <w:tab w:leader="none" w:pos="1420" w:val="left"/>
        </w:tabs>
        <w:spacing w:after="0" w:line="36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вводы с главной изоляцией фарфоровой покрышки</w:t>
      </w:r>
    </w:p>
    <w:p w14:paraId="C4000000">
      <w:pPr>
        <w:spacing w:after="0" w:line="360" w:lineRule="auto"/>
        <w:ind w:firstLine="708" w:left="0"/>
        <w:rPr>
          <w:rFonts w:ascii="Times New Roman" w:hAnsi="Times New Roman"/>
          <w:sz w:val="28"/>
        </w:rPr>
      </w:pPr>
    </w:p>
    <w:p w14:paraId="C5000000">
      <w:pPr>
        <w:numPr>
          <w:ilvl w:val="0"/>
          <w:numId w:val="6"/>
        </w:numPr>
        <w:tabs>
          <w:tab w:leader="none" w:pos="1420" w:val="left"/>
        </w:tabs>
        <w:spacing w:after="0" w:line="36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вводы с маслобарьерной изоляцией</w:t>
      </w:r>
    </w:p>
    <w:p w14:paraId="C6000000">
      <w:pPr>
        <w:numPr>
          <w:ilvl w:val="0"/>
          <w:numId w:val="6"/>
        </w:numPr>
        <w:tabs>
          <w:tab w:leader="none" w:pos="1420" w:val="left"/>
        </w:tabs>
        <w:spacing w:after="0" w:line="36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конденсаторные проходные изоляторы</w:t>
      </w:r>
    </w:p>
    <w:p w14:paraId="C7000000">
      <w:pPr>
        <w:numPr>
          <w:ilvl w:val="0"/>
          <w:numId w:val="6"/>
        </w:numPr>
        <w:tabs>
          <w:tab w:leader="none" w:pos="1420" w:val="left"/>
        </w:tabs>
        <w:spacing w:after="0" w:line="36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вводы с бумажно-масляной изоляцией</w:t>
      </w:r>
    </w:p>
    <w:p w14:paraId="C8000000">
      <w:pPr>
        <w:numPr>
          <w:ilvl w:val="0"/>
          <w:numId w:val="6"/>
        </w:numPr>
        <w:tabs>
          <w:tab w:leader="none" w:pos="1428" w:val="left"/>
        </w:tabs>
        <w:spacing w:after="0" w:line="36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вводы с полимерной RIP-изоляцией (с полым изолятором или с прямым литьём изолятора)</w:t>
      </w:r>
    </w:p>
    <w:p w14:paraId="C9000000">
      <w:pPr>
        <w:numPr>
          <w:ilvl w:val="0"/>
          <w:numId w:val="6"/>
        </w:numPr>
        <w:tabs>
          <w:tab w:leader="none" w:pos="1420" w:val="left"/>
        </w:tabs>
        <w:spacing w:after="0" w:line="36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вводы с </w:t>
      </w:r>
      <w:r>
        <w:rPr>
          <w:rFonts w:ascii="Times New Roman" w:hAnsi="Times New Roman"/>
          <w:sz w:val="28"/>
        </w:rPr>
        <w:t>элегазовой</w:t>
      </w:r>
      <w:r>
        <w:rPr>
          <w:rFonts w:ascii="Times New Roman" w:hAnsi="Times New Roman"/>
          <w:sz w:val="28"/>
        </w:rPr>
        <w:t xml:space="preserve"> изоляцией</w:t>
      </w:r>
    </w:p>
    <w:p w14:paraId="CA000000">
      <w:pPr>
        <w:pStyle w:val="Style_2"/>
        <w:spacing w:after="0" w:line="360" w:lineRule="auto"/>
        <w:ind w:firstLine="708" w:left="0"/>
        <w:contextualSpacing w:val="0"/>
        <w:rPr>
          <w:rFonts w:ascii="Times New Roman" w:hAnsi="Times New Roman"/>
          <w:sz w:val="28"/>
        </w:rPr>
      </w:pPr>
    </w:p>
    <w:p w14:paraId="CB000000">
      <w:pPr>
        <w:spacing w:after="0" w:line="360" w:lineRule="auto"/>
        <w:ind w:firstLine="708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Охлаждающее оборудование</w:t>
      </w:r>
    </w:p>
    <w:p w14:paraId="CC000000">
      <w:pPr>
        <w:spacing w:after="0" w:line="36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Охлаждающее оборудование забирает горячее масло в верхней части бака и возвращает охлаждённое масло в нижнюю боковую часть. Для увеличения площади охлаждаемой поверхности бак </w:t>
      </w:r>
      <w:r>
        <w:rPr>
          <w:rFonts w:ascii="Times New Roman" w:hAnsi="Times New Roman"/>
          <w:sz w:val="28"/>
        </w:rPr>
        <w:t>оснащается трубками или имеет</w:t>
      </w:r>
      <w:r>
        <w:rPr>
          <w:rFonts w:ascii="Times New Roman" w:hAnsi="Times New Roman"/>
          <w:sz w:val="28"/>
        </w:rPr>
        <w:t xml:space="preserve"> гофрированную конструкцию. Для повышения эффективности охлаждения могут применяться вентиляторы.</w:t>
      </w:r>
    </w:p>
    <w:p w14:paraId="CD000000">
      <w:pPr>
        <w:spacing w:after="0" w:line="36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Масляно</w:t>
      </w:r>
      <w:r>
        <w:rPr>
          <w:rFonts w:ascii="Times New Roman" w:hAnsi="Times New Roman"/>
          <w:sz w:val="28"/>
        </w:rPr>
        <w:t xml:space="preserve">-водяные охладители, как правило, представляют собой цилиндрические трубчатые теплообменники со съёмными трубками. Такие теплообменники очень распространены и представляют собой классическую технологию. </w:t>
      </w:r>
    </w:p>
    <w:p w14:paraId="CE000000">
      <w:pPr>
        <w:spacing w:after="0" w:line="360" w:lineRule="auto"/>
        <w:ind w:firstLine="708" w:left="0"/>
        <w:jc w:val="center"/>
        <w:rPr>
          <w:rFonts w:ascii="Times New Roman" w:hAnsi="Times New Roman"/>
          <w:sz w:val="28"/>
          <w:u w:val="single"/>
        </w:rPr>
      </w:pPr>
    </w:p>
    <w:p w14:paraId="CF000000">
      <w:pPr>
        <w:spacing w:after="0" w:line="360" w:lineRule="auto"/>
        <w:ind w:firstLine="708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Масляные насосы</w:t>
      </w:r>
    </w:p>
    <w:p w14:paraId="D0000000">
      <w:pPr>
        <w:spacing w:after="0" w:line="360" w:lineRule="auto"/>
        <w:ind w:firstLine="708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 xml:space="preserve">Циркуляционные насосы для масляного охлаждающего оборудования </w:t>
      </w: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это специальные компактные, полностью герметичные конструкции. Двигатель погружён в трансформаторное масло; сальниковые коробки отсутствуют.</w:t>
      </w:r>
    </w:p>
    <w:p w14:paraId="D1000000">
      <w:pPr>
        <w:spacing w:after="0" w:line="360" w:lineRule="auto"/>
        <w:ind w:firstLine="708" w:left="0"/>
        <w:rPr>
          <w:rFonts w:ascii="Times New Roman" w:hAnsi="Times New Roman"/>
          <w:sz w:val="20"/>
        </w:rPr>
      </w:pPr>
    </w:p>
    <w:p w14:paraId="D2000000">
      <w:pPr>
        <w:spacing w:after="0" w:line="360" w:lineRule="auto"/>
        <w:ind w:firstLine="708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Оборудование для регулирования напряжения</w:t>
      </w:r>
    </w:p>
    <w:p w14:paraId="D3000000">
      <w:pPr>
        <w:spacing w:after="0" w:line="360" w:lineRule="auto"/>
        <w:ind w:firstLine="708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>Большинство трансформаторов оборудовано приспособлениями для изменения коэффициента трансформации путём добавления или отключения числа части витков обмотки. Разновидности переключателей числа витков трансформатора:</w:t>
      </w:r>
    </w:p>
    <w:p w14:paraId="D4000000">
      <w:pPr>
        <w:pStyle w:val="Style_2"/>
        <w:numPr>
          <w:ilvl w:val="0"/>
          <w:numId w:val="7"/>
        </w:numPr>
        <w:tabs>
          <w:tab w:leader="none" w:pos="1428" w:val="left"/>
        </w:tabs>
        <w:spacing w:after="0" w:line="360" w:lineRule="auto"/>
        <w:ind w:firstLine="708" w:left="0"/>
        <w:contextualSpacing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переключатели числа витков без нагрузки — переключатели без возбуждения (ПБВ):</w:t>
      </w:r>
    </w:p>
    <w:p w14:paraId="D5000000">
      <w:pPr>
        <w:pStyle w:val="Style_2"/>
        <w:numPr>
          <w:ilvl w:val="0"/>
          <w:numId w:val="7"/>
        </w:numPr>
        <w:tabs>
          <w:tab w:leader="none" w:pos="1428" w:val="left"/>
        </w:tabs>
        <w:spacing w:after="0" w:line="360" w:lineRule="auto"/>
        <w:ind w:firstLine="708" w:left="0"/>
        <w:contextualSpacing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переключатели числа витков под нагрузкой — регулирование под нагрузкой (РПН).</w:t>
      </w:r>
    </w:p>
    <w:p w14:paraId="D6000000">
      <w:pPr>
        <w:spacing w:after="0" w:line="360" w:lineRule="auto"/>
        <w:ind w:firstLine="708" w:left="0"/>
        <w:rPr>
          <w:rFonts w:ascii="Times New Roman" w:hAnsi="Times New Roman"/>
          <w:sz w:val="20"/>
        </w:rPr>
      </w:pPr>
    </w:p>
    <w:p w14:paraId="D7000000">
      <w:pPr>
        <w:spacing w:after="0" w:line="360" w:lineRule="auto"/>
        <w:ind w:firstLine="708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Осмотры трансформаторов</w:t>
      </w:r>
    </w:p>
    <w:p w14:paraId="D8000000">
      <w:pPr>
        <w:spacing w:after="0" w:line="360" w:lineRule="auto"/>
        <w:ind w:firstLine="708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>Осмотры проводятся без отключения трансформаторов со следующей периодичностью:</w:t>
      </w:r>
    </w:p>
    <w:p w14:paraId="D9000000">
      <w:pPr>
        <w:pStyle w:val="Style_2"/>
        <w:numPr>
          <w:ilvl w:val="0"/>
          <w:numId w:val="8"/>
        </w:numPr>
        <w:tabs>
          <w:tab w:leader="none" w:pos="708" w:val="left"/>
        </w:tabs>
        <w:spacing w:after="0" w:line="360" w:lineRule="auto"/>
        <w:ind w:firstLine="708" w:left="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главных понижающих трансформаторов подстанций с постоянным дежурством персонала - 1 раз в сутки;</w:t>
      </w:r>
    </w:p>
    <w:p w14:paraId="DA000000">
      <w:pPr>
        <w:pStyle w:val="Style_2"/>
        <w:numPr>
          <w:ilvl w:val="0"/>
          <w:numId w:val="8"/>
        </w:numPr>
        <w:tabs>
          <w:tab w:leader="none" w:pos="708" w:val="left"/>
        </w:tabs>
        <w:spacing w:after="0" w:line="360" w:lineRule="auto"/>
        <w:ind w:firstLine="708" w:left="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остальных трансформаторов электроустановок с постоянным и без постоянного дежурства персонала - не реже 1 раза в месяц.</w:t>
      </w:r>
    </w:p>
    <w:p w14:paraId="DB000000">
      <w:pPr>
        <w:spacing w:after="0" w:line="360" w:lineRule="auto"/>
        <w:ind w:firstLine="708" w:left="0"/>
        <w:jc w:val="both"/>
        <w:rPr>
          <w:rFonts w:ascii="Times New Roman" w:hAnsi="Times New Roman"/>
          <w:sz w:val="20"/>
        </w:rPr>
      </w:pPr>
    </w:p>
    <w:p w14:paraId="DC000000">
      <w:pPr>
        <w:spacing w:after="0" w:line="360" w:lineRule="auto"/>
        <w:ind w:firstLine="708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>Внеочередные осмотры трансформаторов производятся:</w:t>
      </w:r>
    </w:p>
    <w:p w14:paraId="DD000000">
      <w:pPr>
        <w:numPr>
          <w:ilvl w:val="0"/>
          <w:numId w:val="9"/>
        </w:numPr>
        <w:tabs>
          <w:tab w:leader="none" w:pos="708" w:val="left"/>
        </w:tabs>
        <w:spacing w:after="0" w:line="360" w:lineRule="auto"/>
        <w:ind w:firstLine="708" w:left="0" w:right="68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после неблагоприятных климатических воздействий, например, после резкого изменения температуры окружающего воздуха;</w:t>
      </w:r>
    </w:p>
    <w:p w14:paraId="DE000000">
      <w:pPr>
        <w:numPr>
          <w:ilvl w:val="0"/>
          <w:numId w:val="9"/>
        </w:numPr>
        <w:tabs>
          <w:tab w:leader="none" w:pos="720" w:val="left"/>
        </w:tabs>
        <w:spacing w:after="0" w:line="360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после срабатывания газовой защиты на сигнал;</w:t>
      </w:r>
    </w:p>
    <w:p w14:paraId="DF000000">
      <w:pPr>
        <w:numPr>
          <w:ilvl w:val="0"/>
          <w:numId w:val="9"/>
        </w:numPr>
        <w:tabs>
          <w:tab w:leader="none" w:pos="708" w:val="left"/>
        </w:tabs>
        <w:spacing w:after="0" w:line="360" w:lineRule="auto"/>
        <w:ind w:firstLine="708" w:left="0" w:right="9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после отключения трансформатора газовой или дифференциальной защитой.</w:t>
      </w:r>
    </w:p>
    <w:p w14:paraId="E0000000">
      <w:pPr>
        <w:spacing w:after="0" w:line="360" w:lineRule="auto"/>
        <w:ind w:firstLine="708" w:left="0"/>
        <w:jc w:val="both"/>
        <w:rPr>
          <w:rFonts w:ascii="Times New Roman" w:hAnsi="Times New Roman"/>
          <w:sz w:val="20"/>
        </w:rPr>
      </w:pPr>
    </w:p>
    <w:p w14:paraId="E1000000">
      <w:pPr>
        <w:spacing w:after="0" w:line="360" w:lineRule="auto"/>
        <w:ind w:firstLine="708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>При осмотрах трансформаторов проверяются:</w:t>
      </w:r>
    </w:p>
    <w:p w14:paraId="E2000000">
      <w:pPr>
        <w:pStyle w:val="Style_2"/>
        <w:numPr>
          <w:ilvl w:val="0"/>
          <w:numId w:val="10"/>
        </w:numPr>
        <w:tabs>
          <w:tab w:leader="none" w:pos="708" w:val="left"/>
        </w:tabs>
        <w:spacing w:after="0" w:line="360" w:lineRule="auto"/>
        <w:ind w:firstLine="708" w:left="0" w:right="-8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показания всех измерительных приборов (термометров, </w:t>
      </w:r>
      <w:r>
        <w:rPr>
          <w:rFonts w:ascii="Times New Roman" w:hAnsi="Times New Roman"/>
          <w:sz w:val="28"/>
        </w:rPr>
        <w:t>термосигнализаторов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мановакуумметров</w:t>
      </w:r>
      <w:r>
        <w:rPr>
          <w:rFonts w:ascii="Times New Roman" w:hAnsi="Times New Roman"/>
          <w:sz w:val="28"/>
        </w:rPr>
        <w:t xml:space="preserve"> и других);</w:t>
      </w:r>
    </w:p>
    <w:p w14:paraId="E3000000">
      <w:pPr>
        <w:pStyle w:val="Style_2"/>
        <w:numPr>
          <w:ilvl w:val="0"/>
          <w:numId w:val="10"/>
        </w:numPr>
        <w:tabs>
          <w:tab w:leader="none" w:pos="708" w:val="left"/>
        </w:tabs>
        <w:spacing w:after="0" w:line="360" w:lineRule="auto"/>
        <w:ind w:firstLine="708" w:left="0" w:right="84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состояние внешней изоляции трансформатора (отсутствие трещин и сколов фарфора, степень загрязнения поверхности);</w:t>
      </w:r>
    </w:p>
    <w:p w14:paraId="E4000000">
      <w:pPr>
        <w:pStyle w:val="Style_2"/>
        <w:numPr>
          <w:ilvl w:val="0"/>
          <w:numId w:val="10"/>
        </w:numPr>
        <w:tabs>
          <w:tab w:leader="none" w:pos="708" w:val="left"/>
        </w:tabs>
        <w:spacing w:after="0" w:line="360" w:lineRule="auto"/>
        <w:ind w:firstLine="708" w:left="0" w:right="68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состояние ошиновки, кабельных вводов и доступных для наблюдения контактных соединений;</w:t>
      </w:r>
    </w:p>
    <w:p w14:paraId="E5000000">
      <w:pPr>
        <w:pStyle w:val="Style_2"/>
        <w:numPr>
          <w:ilvl w:val="0"/>
          <w:numId w:val="10"/>
        </w:numPr>
        <w:tabs>
          <w:tab w:leader="none" w:pos="708" w:val="left"/>
        </w:tabs>
        <w:spacing w:after="0" w:line="360" w:lineRule="auto"/>
        <w:ind w:firstLine="708" w:left="0" w:right="-8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состояние фланцевых соединений маслопроводов и отсутствие течи масла;</w:t>
      </w:r>
    </w:p>
    <w:p w14:paraId="E6000000">
      <w:pPr>
        <w:pStyle w:val="Style_2"/>
        <w:numPr>
          <w:ilvl w:val="0"/>
          <w:numId w:val="10"/>
        </w:numPr>
        <w:tabs>
          <w:tab w:leader="none" w:pos="720" w:val="left"/>
        </w:tabs>
        <w:spacing w:after="0" w:line="360" w:lineRule="auto"/>
        <w:ind w:firstLine="708" w:left="0" w:right="-8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наличие и уровень масла в расширителе и маслонаполненных вводах;</w:t>
      </w:r>
    </w:p>
    <w:p w14:paraId="E7000000">
      <w:pPr>
        <w:pStyle w:val="Style_2"/>
        <w:numPr>
          <w:ilvl w:val="0"/>
          <w:numId w:val="10"/>
        </w:numPr>
        <w:tabs>
          <w:tab w:leader="none" w:pos="720" w:val="left"/>
        </w:tabs>
        <w:spacing w:after="0" w:line="360" w:lineRule="auto"/>
        <w:ind w:firstLine="708" w:left="0" w:right="-8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состояние контура заземления;</w:t>
      </w:r>
    </w:p>
    <w:p w14:paraId="E8000000">
      <w:pPr>
        <w:pStyle w:val="Style_2"/>
        <w:numPr>
          <w:ilvl w:val="0"/>
          <w:numId w:val="10"/>
        </w:numPr>
        <w:tabs>
          <w:tab w:leader="none" w:pos="720" w:val="left"/>
        </w:tabs>
        <w:spacing w:after="0" w:line="360" w:lineRule="auto"/>
        <w:ind w:firstLine="708" w:left="0" w:right="-8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состояние </w:t>
      </w:r>
      <w:r>
        <w:rPr>
          <w:rFonts w:ascii="Times New Roman" w:hAnsi="Times New Roman"/>
          <w:sz w:val="28"/>
        </w:rPr>
        <w:t>маслоприемных</w:t>
      </w:r>
      <w:r>
        <w:rPr>
          <w:rFonts w:ascii="Times New Roman" w:hAnsi="Times New Roman"/>
          <w:sz w:val="28"/>
        </w:rPr>
        <w:t xml:space="preserve"> устройств (гравийной засыпки);</w:t>
      </w:r>
    </w:p>
    <w:p w14:paraId="E9000000">
      <w:pPr>
        <w:pStyle w:val="Style_2"/>
        <w:numPr>
          <w:ilvl w:val="0"/>
          <w:numId w:val="10"/>
        </w:numPr>
        <w:tabs>
          <w:tab w:leader="none" w:pos="708" w:val="left"/>
        </w:tabs>
        <w:spacing w:after="0" w:line="360" w:lineRule="auto"/>
        <w:ind w:firstLine="708" w:left="0" w:right="42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 закрытой установке трансформаторов проверяется состояние помещения, исправность вентиляции, наличие средств пожаротушения.</w:t>
      </w:r>
    </w:p>
    <w:p w14:paraId="EA000000">
      <w:pPr>
        <w:spacing w:after="0" w:line="360" w:lineRule="auto"/>
        <w:ind w:firstLine="708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>Одним из показателей состояния трансформатора служит характер издаваемого им гула (прослушивание ведется при отключенных вентиляторах). Не должно быть потрескиваний и щелчков, связанных с разрядами в баке трансформатора; гудение должно быть равномерным без периодических изменений уровня или тона.</w:t>
      </w:r>
    </w:p>
    <w:p w14:paraId="EB000000">
      <w:pPr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EC000000">
      <w:pPr>
        <w:pStyle w:val="Style_1"/>
        <w:spacing w:before="0" w:line="360" w:lineRule="auto"/>
        <w:ind w:firstLine="709" w:left="0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>4. Лабораторное оборудование</w:t>
      </w:r>
    </w:p>
    <w:p w14:paraId="ED000000">
      <w:pPr>
        <w:pStyle w:val="Style_2"/>
        <w:spacing w:after="0" w:line="360" w:lineRule="auto"/>
        <w:ind w:firstLine="0" w:left="0"/>
        <w:contextualSpacing w:val="0"/>
        <w:jc w:val="both"/>
        <w:rPr>
          <w:rFonts w:ascii="Times New Roman" w:hAnsi="Times New Roman"/>
          <w:b w:val="1"/>
          <w:sz w:val="28"/>
        </w:rPr>
      </w:pPr>
      <w:r>
        <w:drawing>
          <wp:inline>
            <wp:extent cx="5662627" cy="2600325"/>
            <wp:effectExtent b="0" l="0" r="0" t="0"/>
            <wp:docPr hidden="false" id="21" name="Picture 21"/>
            <a:graphic>
              <a:graphicData uri="http://schemas.openxmlformats.org/drawingml/2006/picture">
                <pic:pic>
                  <pic:nvPicPr>
                    <pic:cNvPr hidden="false" id="22" name="Picture 22"/>
                    <pic:cNvPicPr preferRelativeResize="true"/>
                  </pic:nvPicPr>
                  <pic:blipFill>
                    <a:blip r:embed="rId10"/>
                    <a:srcRect b="0" l="0" r="0" t="0"/>
                    <a:stretch/>
                  </pic:blipFill>
                  <pic:spPr>
                    <a:xfrm flipH="false" flipV="false" rot="0">
                      <a:ext cx="5662627" cy="26003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EE000000">
      <w:pPr>
        <w:spacing w:after="0" w:line="36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>Рис.1. Лабораторное оборудование.</w:t>
      </w:r>
    </w:p>
    <w:p w14:paraId="EF000000">
      <w:pPr>
        <w:spacing w:after="0" w:line="360" w:lineRule="auto"/>
        <w:ind/>
        <w:jc w:val="center"/>
        <w:rPr>
          <w:rFonts w:ascii="Times New Roman" w:hAnsi="Times New Roman"/>
          <w:sz w:val="28"/>
          <w:u w:val="single"/>
        </w:rPr>
      </w:pPr>
    </w:p>
    <w:p w14:paraId="F0000000">
      <w:pPr>
        <w:pStyle w:val="Style_1"/>
        <w:spacing w:line="360" w:lineRule="auto"/>
        <w:ind w:firstLine="709" w:left="0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>5. Порядок выполнения работы</w:t>
      </w:r>
    </w:p>
    <w:p w14:paraId="F1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После запуска программы работы внимательно рассмотрите трансформатор и окружающее его оборудование.</w:t>
      </w:r>
    </w:p>
    <w:p w14:paraId="F2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С </w:t>
      </w:r>
      <w:r>
        <w:rPr>
          <w:rFonts w:ascii="Times New Roman" w:hAnsi="Times New Roman"/>
          <w:sz w:val="28"/>
        </w:rPr>
        <w:t xml:space="preserve">помощью поисковых систем найдите и идентифицируйте </w:t>
      </w:r>
      <w:r>
        <w:rPr>
          <w:rFonts w:ascii="Times New Roman" w:hAnsi="Times New Roman"/>
          <w:sz w:val="28"/>
        </w:rPr>
        <w:t>найденные на рисунке элементы трансформатора, составьте их список с указанием назначения.</w:t>
      </w:r>
    </w:p>
    <w:p w14:paraId="F300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Ответьте на контрольные вопросы.</w:t>
      </w:r>
    </w:p>
    <w:p w14:paraId="F4000000">
      <w:pPr>
        <w:tabs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>Оформит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отчет согласно структуре</w:t>
      </w:r>
      <w:r>
        <w:rPr>
          <w:rFonts w:ascii="Times New Roman" w:hAnsi="Times New Roman"/>
          <w:sz w:val="28"/>
        </w:rPr>
        <w:t>, приведенной ниже, и прикрепите</w:t>
      </w:r>
      <w:r>
        <w:rPr>
          <w:rFonts w:ascii="Times New Roman" w:hAnsi="Times New Roman"/>
          <w:sz w:val="28"/>
        </w:rPr>
        <w:t xml:space="preserve"> его в курс для проверки.</w:t>
      </w:r>
    </w:p>
    <w:p w14:paraId="F5000000">
      <w:pPr>
        <w:pStyle w:val="Style_1"/>
        <w:spacing w:line="360" w:lineRule="auto"/>
        <w:ind w:firstLine="709" w:left="0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>6. Контрольные вопросы.</w:t>
      </w:r>
    </w:p>
    <w:p w14:paraId="F6000000">
      <w:pPr>
        <w:numPr>
          <w:ilvl w:val="0"/>
          <w:numId w:val="11"/>
        </w:numPr>
        <w:tabs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Что такое силовой трансформатор?</w:t>
      </w:r>
    </w:p>
    <w:p w14:paraId="F7000000">
      <w:pPr>
        <w:numPr>
          <w:ilvl w:val="0"/>
          <w:numId w:val="11"/>
        </w:numPr>
        <w:tabs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Что такое вводы силовых трансформаторов?</w:t>
      </w:r>
    </w:p>
    <w:p w14:paraId="F8000000">
      <w:pPr>
        <w:numPr>
          <w:ilvl w:val="0"/>
          <w:numId w:val="11"/>
        </w:numPr>
        <w:tabs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Что такое вводы с главной изоляцией фарфоровой покрышки?</w:t>
      </w:r>
    </w:p>
    <w:p w14:paraId="F9000000">
      <w:pPr>
        <w:numPr>
          <w:ilvl w:val="0"/>
          <w:numId w:val="11"/>
        </w:numPr>
        <w:tabs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Что такое вводы с маслобарьерной изоляцией?</w:t>
      </w:r>
    </w:p>
    <w:p w14:paraId="FA000000">
      <w:pPr>
        <w:numPr>
          <w:ilvl w:val="0"/>
          <w:numId w:val="11"/>
        </w:numPr>
        <w:tabs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Что такое конденсаторные проходные изоляторы?</w:t>
      </w:r>
    </w:p>
    <w:p w14:paraId="FB000000">
      <w:pPr>
        <w:numPr>
          <w:ilvl w:val="0"/>
          <w:numId w:val="11"/>
        </w:numPr>
        <w:tabs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Что такое вводы с бумажно-масляной изоляцией?</w:t>
      </w:r>
    </w:p>
    <w:p w14:paraId="FC000000">
      <w:pPr>
        <w:numPr>
          <w:ilvl w:val="0"/>
          <w:numId w:val="11"/>
        </w:numPr>
        <w:tabs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Что такое вводы с полимерной RIP-изоляцией (с полым изолятором или с прямым литьём изолятора)?</w:t>
      </w:r>
    </w:p>
    <w:p w14:paraId="FD000000">
      <w:pPr>
        <w:numPr>
          <w:ilvl w:val="0"/>
          <w:numId w:val="11"/>
        </w:numPr>
        <w:tabs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Что такое вводы с </w:t>
      </w:r>
      <w:r>
        <w:rPr>
          <w:rFonts w:ascii="Times New Roman" w:hAnsi="Times New Roman"/>
          <w:sz w:val="28"/>
        </w:rPr>
        <w:t>элегазовой</w:t>
      </w:r>
      <w:r>
        <w:rPr>
          <w:rFonts w:ascii="Times New Roman" w:hAnsi="Times New Roman"/>
          <w:sz w:val="28"/>
        </w:rPr>
        <w:t xml:space="preserve"> изоляцией?</w:t>
      </w:r>
    </w:p>
    <w:p w14:paraId="FE000000">
      <w:pPr>
        <w:numPr>
          <w:ilvl w:val="0"/>
          <w:numId w:val="11"/>
        </w:numPr>
        <w:tabs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Что такое гофрированный бак?</w:t>
      </w:r>
    </w:p>
    <w:p w14:paraId="FF000000">
      <w:pPr>
        <w:pStyle w:val="Style_2"/>
        <w:numPr>
          <w:ilvl w:val="0"/>
          <w:numId w:val="11"/>
        </w:numPr>
        <w:tabs>
          <w:tab w:leader="none" w:pos="1418" w:val="left"/>
        </w:tabs>
        <w:spacing w:line="360" w:lineRule="auto"/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>Принцип работы трансформатора?</w:t>
      </w:r>
    </w:p>
    <w:p w14:paraId="00010000">
      <w:pPr>
        <w:pStyle w:val="Style_2"/>
        <w:numPr>
          <w:ilvl w:val="0"/>
          <w:numId w:val="11"/>
        </w:numPr>
        <w:tabs>
          <w:tab w:leader="none" w:pos="1418" w:val="left"/>
        </w:tabs>
        <w:spacing w:line="360" w:lineRule="auto"/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8"/>
        </w:rPr>
        <w:t>Периодичность осмотров силового трансформатора.</w:t>
      </w:r>
    </w:p>
    <w:p w14:paraId="01010000">
      <w:pPr>
        <w:tabs>
          <w:tab w:leader="none" w:pos="1418" w:val="left"/>
        </w:tabs>
        <w:spacing w:after="0" w:line="360" w:lineRule="auto"/>
        <w:ind w:firstLine="709" w:left="0"/>
        <w:jc w:val="both"/>
        <w:rPr>
          <w:rFonts w:ascii="Times New Roman" w:hAnsi="Times New Roman"/>
          <w:b w:val="1"/>
          <w:sz w:val="28"/>
        </w:rPr>
      </w:pPr>
    </w:p>
    <w:p w14:paraId="02010000">
      <w:pPr>
        <w:pStyle w:val="Style_1"/>
        <w:spacing w:line="360" w:lineRule="auto"/>
        <w:ind w:firstLine="709" w:left="0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>7. Структура отчета по проделанной работе</w:t>
      </w:r>
    </w:p>
    <w:p w14:paraId="03010000">
      <w:pPr>
        <w:pStyle w:val="Style_2"/>
        <w:numPr>
          <w:ilvl w:val="0"/>
          <w:numId w:val="4"/>
        </w:numPr>
        <w:tabs>
          <w:tab w:leader="none" w:pos="1418" w:val="left"/>
        </w:tabs>
        <w:spacing w:after="0" w:line="360" w:lineRule="auto"/>
        <w:ind w:firstLine="709" w:left="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Титульный лист (стандартный, прикреплен в курсе)</w:t>
      </w:r>
    </w:p>
    <w:p w14:paraId="04010000">
      <w:pPr>
        <w:pStyle w:val="Style_2"/>
        <w:numPr>
          <w:ilvl w:val="0"/>
          <w:numId w:val="4"/>
        </w:numPr>
        <w:tabs>
          <w:tab w:leader="none" w:pos="1418" w:val="left"/>
        </w:tabs>
        <w:spacing w:after="0" w:line="360" w:lineRule="auto"/>
        <w:ind w:firstLine="709" w:left="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 и задачи работы</w:t>
      </w:r>
      <w:r>
        <w:rPr>
          <w:rFonts w:ascii="Times New Roman" w:hAnsi="Times New Roman"/>
          <w:sz w:val="28"/>
        </w:rPr>
        <w:t xml:space="preserve"> </w:t>
      </w:r>
    </w:p>
    <w:p w14:paraId="05010000">
      <w:pPr>
        <w:pStyle w:val="Style_2"/>
        <w:numPr>
          <w:ilvl w:val="0"/>
          <w:numId w:val="4"/>
        </w:numPr>
        <w:tabs>
          <w:tab w:leader="none" w:pos="1418" w:val="left"/>
        </w:tabs>
        <w:spacing w:after="0" w:line="360" w:lineRule="auto"/>
        <w:ind w:firstLine="709" w:left="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Список обнаруженных на рисунке и идентифицированных элементов трансформатора с указанием их назначения.</w:t>
      </w:r>
      <w:r>
        <w:rPr>
          <w:rFonts w:ascii="Times New Roman" w:hAnsi="Times New Roman"/>
          <w:sz w:val="28"/>
        </w:rPr>
        <w:t xml:space="preserve"> </w:t>
      </w:r>
    </w:p>
    <w:p w14:paraId="06010000">
      <w:pPr>
        <w:pStyle w:val="Style_2"/>
        <w:numPr>
          <w:ilvl w:val="0"/>
          <w:numId w:val="4"/>
        </w:numPr>
        <w:tabs>
          <w:tab w:leader="none" w:pos="1418" w:val="left"/>
        </w:tabs>
        <w:spacing w:after="0" w:line="360" w:lineRule="auto"/>
        <w:ind w:firstLine="709" w:left="0"/>
        <w:contextualSpacing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Ответы на контрольные вопросы.</w:t>
      </w:r>
    </w:p>
    <w:p w14:paraId="07010000">
      <w:pPr>
        <w:pStyle w:val="Style_2"/>
        <w:tabs>
          <w:tab w:leader="none" w:pos="1418" w:val="left"/>
        </w:tabs>
        <w:spacing w:after="0" w:line="360" w:lineRule="auto"/>
        <w:ind w:firstLine="0" w:left="709"/>
        <w:contextualSpacing w:val="0"/>
        <w:jc w:val="both"/>
        <w:rPr>
          <w:rFonts w:ascii="Times New Roman" w:hAnsi="Times New Roman"/>
          <w:sz w:val="28"/>
        </w:rPr>
      </w:pPr>
    </w:p>
    <w:p w14:paraId="08010000">
      <w:pPr>
        <w:spacing w:after="0" w:line="36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09010000"/>
    <w:p w14:paraId="0A010000">
      <w:bookmarkStart w:id="2" w:name="_GoBack"/>
      <w:bookmarkEnd w:id="2"/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1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bullet"/>
      <w:lvlText w:val=""/>
      <w:lvlJc w:val="left"/>
      <w:pPr>
        <w:ind w:hanging="360" w:left="720"/>
      </w:pPr>
      <w:rPr>
        <w:rFonts w:ascii="Wingdings" w:hAnsi="Wingdings"/>
      </w:r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3">
    <w:lvl w:ilvl="0">
      <w:start w:val="1"/>
      <w:numFmt w:val="decimal"/>
      <w:lvlText w:val="%1."/>
      <w:lvlJc w:val="left"/>
      <w:pPr>
        <w:ind w:hanging="360" w:left="1429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ind w:hanging="360" w:left="2149"/>
      </w:pPr>
    </w:lvl>
    <w:lvl w:ilvl="2">
      <w:start w:val="1"/>
      <w:numFmt w:val="lowerRoman"/>
      <w:lvlText w:val="%3."/>
      <w:lvlJc w:val="right"/>
      <w:pPr>
        <w:ind w:hanging="180" w:left="2869"/>
      </w:pPr>
    </w:lvl>
    <w:lvl w:ilvl="3">
      <w:start w:val="1"/>
      <w:numFmt w:val="decimal"/>
      <w:lvlText w:val="%4."/>
      <w:lvlJc w:val="left"/>
      <w:pPr>
        <w:ind w:hanging="360" w:left="3589"/>
      </w:pPr>
    </w:lvl>
    <w:lvl w:ilvl="4">
      <w:start w:val="1"/>
      <w:numFmt w:val="lowerLetter"/>
      <w:lvlText w:val="%5."/>
      <w:lvlJc w:val="left"/>
      <w:pPr>
        <w:ind w:hanging="360" w:left="4309"/>
      </w:pPr>
    </w:lvl>
    <w:lvl w:ilvl="5">
      <w:start w:val="1"/>
      <w:numFmt w:val="lowerRoman"/>
      <w:lvlText w:val="%6."/>
      <w:lvlJc w:val="right"/>
      <w:pPr>
        <w:ind w:hanging="180" w:left="5029"/>
      </w:pPr>
    </w:lvl>
    <w:lvl w:ilvl="6">
      <w:start w:val="1"/>
      <w:numFmt w:val="decimal"/>
      <w:lvlText w:val="%7."/>
      <w:lvlJc w:val="left"/>
      <w:pPr>
        <w:ind w:hanging="360" w:left="5749"/>
      </w:pPr>
    </w:lvl>
    <w:lvl w:ilvl="7">
      <w:start w:val="1"/>
      <w:numFmt w:val="lowerLetter"/>
      <w:lvlText w:val="%8."/>
      <w:lvlJc w:val="left"/>
      <w:pPr>
        <w:ind w:hanging="360" w:left="6469"/>
      </w:pPr>
    </w:lvl>
    <w:lvl w:ilvl="8">
      <w:start w:val="1"/>
      <w:numFmt w:val="lowerRoman"/>
      <w:lvlText w:val="%9."/>
      <w:lvlJc w:val="right"/>
      <w:pPr>
        <w:ind w:hanging="180" w:left="7189"/>
      </w:pPr>
    </w:lvl>
  </w:abstractNum>
  <w:abstractNum w:abstractNumId="4">
    <w:lvl w:ilvl="0">
      <w:start w:val="1"/>
      <w:numFmt w:val="decimal"/>
      <w:lvlText w:val="%1."/>
      <w:lvlJc w:val="left"/>
      <w:pPr>
        <w:ind w:hanging="360" w:left="1069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5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6">
    <w:lvl w:ilvl="0">
      <w:start w:val="1"/>
      <w:numFmt w:val="bullet"/>
      <w:lvlText w:val=""/>
      <w:lvlJc w:val="left"/>
      <w:pPr>
        <w:ind w:hanging="360" w:left="1796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516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3236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956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676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396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6116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836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556"/>
      </w:pPr>
      <w:rPr>
        <w:rFonts w:ascii="Wingdings" w:hAnsi="Wingdings"/>
      </w:rPr>
    </w:lvl>
  </w:abstractNum>
  <w:abstractNum w:abstractNumId="7">
    <w:lvl w:ilvl="0">
      <w:start w:val="1"/>
      <w:numFmt w:val="bullet"/>
      <w:lvlText w:val=""/>
      <w:lvlJc w:val="left"/>
      <w:pPr>
        <w:ind w:hanging="360" w:left="1088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808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528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248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968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688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408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128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848"/>
      </w:pPr>
      <w:rPr>
        <w:rFonts w:ascii="Wingdings" w:hAnsi="Wingdings"/>
      </w:rPr>
    </w:lvl>
  </w:abstractNum>
  <w:abstractNum w:abstractNumId="8">
    <w:lvl w:ilvl="0">
      <w:start w:val="1"/>
      <w:numFmt w:val="bullet"/>
      <w:lvlText w:val=""/>
      <w:lvlJc w:val="left"/>
      <w:pPr>
        <w:ind w:hanging="360" w:left="1088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808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528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248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968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688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408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128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848"/>
      </w:pPr>
      <w:rPr>
        <w:rFonts w:ascii="Wingdings" w:hAnsi="Wingdings"/>
      </w:rPr>
    </w:lvl>
  </w:abstractNum>
  <w:abstractNum w:abstractNumId="9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0">
    <w:lvl w:ilvl="0">
      <w:start w:val="1"/>
      <w:numFmt w:val="decimal"/>
      <w:lvlText w:val="%1."/>
      <w:lvlJc w:val="left"/>
      <w:pPr>
        <w:ind w:hanging="360" w:left="72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heading 3"/>
    <w:next w:val="Style_4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4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2" w:type="paragraph">
    <w:name w:val="List Paragraph"/>
    <w:basedOn w:val="Style_4"/>
    <w:link w:val="Style_2_ch"/>
    <w:pPr>
      <w:ind w:firstLine="0" w:left="720"/>
      <w:contextualSpacing w:val="1"/>
    </w:pPr>
  </w:style>
  <w:style w:styleId="Style_2_ch" w:type="character">
    <w:name w:val="List Paragraph"/>
    <w:basedOn w:val="Style_4_ch"/>
    <w:link w:val="Style_2"/>
  </w:style>
  <w:style w:styleId="Style_11" w:type="paragraph">
    <w:name w:val="heading 5"/>
    <w:next w:val="Style_4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" w:type="paragraph">
    <w:name w:val="heading 1"/>
    <w:basedOn w:val="Style_4"/>
    <w:next w:val="Style_4"/>
    <w:link w:val="Style_1_ch"/>
    <w:uiPriority w:val="9"/>
    <w:qFormat/>
    <w:pPr>
      <w:keepNext w:val="1"/>
      <w:keepLines w:val="1"/>
      <w:spacing w:after="0" w:before="240"/>
      <w:ind/>
      <w:outlineLvl w:val="0"/>
    </w:pPr>
    <w:rPr>
      <w:rFonts w:asciiTheme="majorAscii" w:hAnsiTheme="majorHAnsi"/>
      <w:color w:themeColor="accent1" w:themeShade="BF" w:val="2E75B5"/>
      <w:sz w:val="32"/>
    </w:rPr>
  </w:style>
  <w:style w:styleId="Style_1_ch" w:type="character">
    <w:name w:val="heading 1"/>
    <w:basedOn w:val="Style_4_ch"/>
    <w:link w:val="Style_1"/>
    <w:rPr>
      <w:rFonts w:asciiTheme="majorAscii" w:hAnsiTheme="majorHAnsi"/>
      <w:color w:themeColor="accent1" w:themeShade="BF" w:val="2E75B5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4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4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4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4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Default Paragraph Font"/>
    <w:link w:val="Style_19_ch"/>
  </w:style>
  <w:style w:styleId="Style_19_ch" w:type="character">
    <w:name w:val="Default Paragraph Font"/>
    <w:link w:val="Style_19"/>
  </w:style>
  <w:style w:styleId="Style_20" w:type="paragraph">
    <w:name w:val="Subtitle"/>
    <w:next w:val="Style_4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4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4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4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styleId="Style_3" w:type="table">
    <w:name w:val="Table Grid"/>
    <w:basedOn w:val="Style_24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styles.xml" Type="http://schemas.openxmlformats.org/officeDocument/2006/relationships/styles"/>
  <Relationship Id="rId11" Target="fontTable.xml" Type="http://schemas.openxmlformats.org/officeDocument/2006/relationships/fontTable"/>
  <Relationship Id="rId17" Target="numbering.xml" Type="http://schemas.openxmlformats.org/officeDocument/2006/relationships/numbering"/>
  <Relationship Id="rId10" Target="media/10.jpeg" Type="http://schemas.openxmlformats.org/officeDocument/2006/relationships/image"/>
  <Relationship Id="rId15" Target="webSettings.xml" Type="http://schemas.openxmlformats.org/officeDocument/2006/relationships/webSettings"/>
  <Relationship Id="rId9" Target="media/9.jpeg" Type="http://schemas.openxmlformats.org/officeDocument/2006/relationships/image"/>
  <Relationship Id="rId8" Target="media/8.jpeg" Type="http://schemas.openxmlformats.org/officeDocument/2006/relationships/image"/>
  <Relationship Id="rId7" Target="media/7.jpeg" Type="http://schemas.openxmlformats.org/officeDocument/2006/relationships/image"/>
  <Relationship Id="rId14" Target="stylesWithEffects.xml" Type="http://schemas.microsoft.com/office/2007/relationships/stylesWithEffects"/>
  <Relationship Id="rId6" Target="media/6.jpeg" Type="http://schemas.openxmlformats.org/officeDocument/2006/relationships/image"/>
  <Relationship Id="rId5" Target="media/5.jpeg" Type="http://schemas.openxmlformats.org/officeDocument/2006/relationships/image"/>
  <Relationship Id="rId4" Target="media/4.jpeg" Type="http://schemas.openxmlformats.org/officeDocument/2006/relationships/image"/>
  <Relationship Id="rId16" Target="theme/theme1.xml" Type="http://schemas.openxmlformats.org/officeDocument/2006/relationships/theme"/>
  <Relationship Id="rId12" Target="settings.xml" Type="http://schemas.openxmlformats.org/officeDocument/2006/relationships/settings"/>
  <Relationship Id="rId3" Target="media/3.jpeg" Type="http://schemas.openxmlformats.org/officeDocument/2006/relationships/image"/>
  <Relationship Id="rId2" Target="media/2.jpeg" Type="http://schemas.openxmlformats.org/officeDocument/2006/relationships/image"/>
  <Relationship Id="rId1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MyOffice-CoreFramework-Android/26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2022-09-01T13:18:06Z</dcterms:modified>
</cp:coreProperties>
</file>