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50C" w:rsidRPr="002D750C" w:rsidRDefault="002D750C" w:rsidP="002D750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D750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Методические указания по выполнению контрольно-курсовой работы</w:t>
      </w:r>
    </w:p>
    <w:p w:rsidR="002D750C" w:rsidRPr="002D750C" w:rsidRDefault="002D750C" w:rsidP="002D750C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2D750C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1.1. Тематика контрольно-курсовой работы</w:t>
      </w:r>
    </w:p>
    <w:p w:rsidR="002D750C" w:rsidRPr="002D750C" w:rsidRDefault="002D750C" w:rsidP="002D750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Контрольно-курсовая работа должна базироваться на современных методах расчета с применением персонального компьютера, выбираемое оборудование и схемы автоматического управления должны быть новейшими. При выполнении контрольно-курсовой работы необходимо пользоваться не только литературой, рекомендуемой в данном учебно-методическом пособии, но и специальной технической литературой, ГОСТами, периодическими изданиями и т.д.</w:t>
      </w:r>
    </w:p>
    <w:p w:rsidR="002D750C" w:rsidRPr="002D750C" w:rsidRDefault="002D750C" w:rsidP="002D750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 контрольно-курсовой работы ведется под руководством преподавателя, который в установленные графиком учебного процесса сроки выдает задание, консультирует и контролирует ход выполнения курсового проекта.</w:t>
      </w:r>
    </w:p>
    <w:p w:rsidR="002D750C" w:rsidRPr="002D750C" w:rsidRDefault="002D750C" w:rsidP="002D750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контрольно-курсовой работы: расчет и выбор основного электромеханического оборудования одной из шахтных стационарных установок.</w:t>
      </w:r>
    </w:p>
    <w:p w:rsidR="002D750C" w:rsidRPr="002D750C" w:rsidRDefault="002D750C" w:rsidP="002D750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соответствии с этим тематика контрольно-курсовой работы определяет эксплуатационный расчет и выбор электромеханического оборудования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 главного проветривания.</w:t>
      </w:r>
    </w:p>
    <w:p w:rsidR="002D750C" w:rsidRDefault="002D750C" w:rsidP="002D750C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1.2. Требования к содержанию и оформлению работы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Контрольно-курсовая работа выполняется студентом самостоятельно, что означает не только самостоятельное проведение необходимых расчетов, оформление пояснительной записки и графической части, но и персональную ответственность за принятые решения. Самостоятельно принятые решения должны быть теоретически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обоснованны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подтверждены расчетами и ссылками на нормативную и справочную литературу.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 и чертежи должны быть подписаны автором работы.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случае если будет установлено, что работа выполнена не самостоятельно, то студенту выдается новое задание.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Оформление пояснительной записки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 составляется на бумаге формата А4. Текст должен быть набран на компьютере, с обязательным соблюдением требований </w:t>
      </w:r>
      <w:hyperlink r:id="rId5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2.105-95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, отличаться краткостью изложения, но без сокращения фраз и слов (за исключением общепринятых сокращений).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Излжение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расчета должно содержать формулировку производимого действия, расчетную формулу, разъяснение буквенных обозначений формулы, подстановку числовых значений в формулу и окончательный результат с указанием размерности (единиц измерения). Если буквенное обозначение и его значение разъяснялось ранее, то повторно этого делать не следует. Окончательный результат вычисления необходимо округлить, но не в ущерб точности. Часто повторяющиеся расчеты следует сводить в таблицы. Все страницы пояснительной записки должны быть пронумерованы.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1.2.2 Оформление графической части работы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часть контрольно-курсовой работы выполняется на листах ватмана (формат по </w:t>
      </w:r>
      <w:hyperlink r:id="rId6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2.301-68</w:t>
        </w:r>
      </w:hyperlink>
      <w:r>
        <w:rPr>
          <w:rFonts w:ascii="Arial" w:hAnsi="Arial" w:cs="Arial"/>
          <w:color w:val="000000"/>
          <w:sz w:val="21"/>
          <w:szCs w:val="21"/>
        </w:rPr>
        <w:t>), с заполнением всех граф основной надписи (</w:t>
      </w:r>
      <w:hyperlink r:id="rId7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2.104-2006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). </w:t>
      </w:r>
      <w:r>
        <w:rPr>
          <w:rFonts w:ascii="Arial" w:hAnsi="Arial" w:cs="Arial"/>
          <w:color w:val="000000"/>
          <w:sz w:val="21"/>
          <w:szCs w:val="21"/>
        </w:rPr>
        <w:lastRenderedPageBreak/>
        <w:t>При выборе масштабов изображения (</w:t>
      </w:r>
      <w:hyperlink r:id="rId8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2.302-68</w:t>
        </w:r>
      </w:hyperlink>
      <w:r>
        <w:rPr>
          <w:rFonts w:ascii="Arial" w:hAnsi="Arial" w:cs="Arial"/>
          <w:color w:val="000000"/>
          <w:sz w:val="21"/>
          <w:szCs w:val="21"/>
        </w:rPr>
        <w:t>) следует учитывать величину и сложность объекта или его составных частей, а также вид и назначение чертежа и руководствоваться прежде всего удобством выполнения и чтения изображений. При выполнении графической части работы следует пользоваться сочетаниями линий различного начертания (</w:t>
      </w:r>
      <w:hyperlink r:id="rId9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2.303-68</w:t>
        </w:r>
      </w:hyperlink>
      <w:r>
        <w:rPr>
          <w:rFonts w:ascii="Arial" w:hAnsi="Arial" w:cs="Arial"/>
          <w:color w:val="000000"/>
          <w:sz w:val="21"/>
          <w:szCs w:val="21"/>
        </w:rPr>
        <w:t>), обладающих необходимой наглядностью и облегчающих восприятие изображений элементов. Текстовые надписи на чертежах выполняются грамотно, аккуратно, начертание букв выполняется шрифтом (</w:t>
      </w:r>
      <w:hyperlink r:id="rId10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2.304-81</w:t>
        </w:r>
      </w:hyperlink>
      <w:r>
        <w:rPr>
          <w:rFonts w:ascii="Arial" w:hAnsi="Arial" w:cs="Arial"/>
          <w:color w:val="000000"/>
          <w:sz w:val="21"/>
          <w:szCs w:val="21"/>
        </w:rPr>
        <w:t>). На каждую сборочную единицу должна быть составлены спецификации (</w:t>
      </w:r>
      <w:hyperlink r:id="rId11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2.106-96</w:t>
        </w:r>
      </w:hyperlink>
      <w:r>
        <w:rPr>
          <w:rFonts w:ascii="Arial" w:hAnsi="Arial" w:cs="Arial"/>
          <w:color w:val="000000"/>
          <w:sz w:val="21"/>
          <w:szCs w:val="21"/>
        </w:rPr>
        <w:t>), которые подшиваются к пояснительной записке в приложении.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Характеристика выбранной машины должна наноситься на координатную сетку (желательно на миллиметровую бумагу) с обязательным обозначением координатных осей и указанием масштаба. Для повышения наглядности изображения допускается начертание характеристик цветными карандашами.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Содержание пояснительной записки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Расчетно-пояснительная записка должна содержать следующие структурные части:</w:t>
      </w:r>
    </w:p>
    <w:p w:rsidR="002D750C" w:rsidRDefault="002D750C" w:rsidP="002D7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титульный лист установленного образца (приложение А1);</w:t>
      </w:r>
    </w:p>
    <w:p w:rsidR="002D750C" w:rsidRDefault="002D750C" w:rsidP="002D7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задание, выдаваемое кафедрой, осуществляющей руководство ККР (приложение А2);</w:t>
      </w:r>
    </w:p>
    <w:p w:rsidR="002D750C" w:rsidRDefault="002D750C" w:rsidP="002D7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содержание;</w:t>
      </w:r>
    </w:p>
    <w:p w:rsidR="002D750C" w:rsidRDefault="002D750C" w:rsidP="002D7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введение;</w:t>
      </w:r>
    </w:p>
    <w:p w:rsidR="002D750C" w:rsidRDefault="002D750C" w:rsidP="002D7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основная часть;</w:t>
      </w:r>
    </w:p>
    <w:p w:rsidR="002D750C" w:rsidRDefault="002D750C" w:rsidP="002D7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заключение;</w:t>
      </w:r>
    </w:p>
    <w:p w:rsidR="002D750C" w:rsidRDefault="002D750C" w:rsidP="002D75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библиографический список.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Содержание каждой структурной части пояснительной записки подробно рассмотрено в соответствующих разделах, посвященных выбору электромеханического оборудования конкретной установки.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Содержание графической части работы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контрольно-курсовой работе должны быть представлены следующие чертежи:</w:t>
      </w:r>
    </w:p>
    <w:p w:rsidR="002D750C" w:rsidRDefault="002D750C" w:rsidP="002D75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принципиальная схема проветривания шахты с указанием шахтной сети проветриваемых выработок, расположения стволов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вентиляторных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установок;</w:t>
      </w:r>
    </w:p>
    <w:p w:rsidR="002D750C" w:rsidRDefault="002D750C" w:rsidP="002D75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графика режима работы вентилятора на присоединенную сеть в начальный и конечный периоды эксплуатации, с определением рабочих параметров;</w:t>
      </w:r>
    </w:p>
    <w:p w:rsidR="002D750C" w:rsidRDefault="002D750C" w:rsidP="002D75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схема автоматизации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вентиляторной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установки.</w:t>
      </w:r>
    </w:p>
    <w:p w:rsidR="002D750C" w:rsidRPr="002D750C" w:rsidRDefault="002D750C" w:rsidP="002D750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2D750C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1.3. Исходные данные для выполнения работы</w:t>
      </w:r>
    </w:p>
    <w:p w:rsidR="002D750C" w:rsidRPr="002D750C" w:rsidRDefault="002D750C" w:rsidP="002D750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Контрольно-курсовая работа выполняется студентом в соответствии с исходными данными, вариант которых определяется по последней цифре номера договора студента.</w:t>
      </w:r>
    </w:p>
    <w:p w:rsidR="002D750C" w:rsidRPr="002D750C" w:rsidRDefault="002D750C" w:rsidP="002D750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Эксплуатационный расчет и выбор электромеханического оборудования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 главного проветривания.</w:t>
      </w:r>
    </w:p>
    <w:p w:rsidR="002D750C" w:rsidRPr="002D750C" w:rsidRDefault="002D750C" w:rsidP="002D750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Рассчитать и выбрать оборудование главной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 шахты по исходным данным, приведенным в таблице 1.1:</w:t>
      </w:r>
    </w:p>
    <w:p w:rsidR="002D750C" w:rsidRPr="002D750C" w:rsidRDefault="002D750C" w:rsidP="002D7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потребное количество воздуха для вентиляции шахты, м</w:t>
      </w:r>
      <w:r w:rsidRPr="002D750C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/с.;</w:t>
      </w:r>
    </w:p>
    <w:p w:rsidR="002D750C" w:rsidRPr="002D750C" w:rsidRDefault="002D750C" w:rsidP="002D7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максимальная депрессия шахтной </w:t>
      </w:r>
      <w:proofErr w:type="gram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сети ,</w:t>
      </w:r>
      <w:proofErr w:type="gram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даПа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2D750C" w:rsidRPr="002D750C" w:rsidRDefault="002D750C" w:rsidP="002D7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минимальная депрессия шахты,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даПа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2D750C" w:rsidRPr="002D750C" w:rsidRDefault="002D750C" w:rsidP="002D750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срок службы шахты, лет.</w:t>
      </w:r>
    </w:p>
    <w:p w:rsidR="008A737F" w:rsidRDefault="002D750C">
      <w:r>
        <w:rPr>
          <w:noProof/>
          <w:lang w:eastAsia="ru-RU"/>
        </w:rPr>
        <w:lastRenderedPageBreak/>
        <w:drawing>
          <wp:inline distT="0" distB="0" distL="0" distR="0" wp14:anchorId="753EBBCC" wp14:editId="3643E6AB">
            <wp:extent cx="5940425" cy="21443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D49EE2C" wp14:editId="6993E86F">
            <wp:extent cx="5940425" cy="26511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Примечание: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согласно существующим нормативам коэффициент одновременной работы 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β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отбойных и бурильных молотков принимается:</w:t>
      </w:r>
    </w:p>
    <w:p w:rsidR="002D750C" w:rsidRPr="002D750C" w:rsidRDefault="002D750C" w:rsidP="002D750C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1¸0,85 при числе молотков до 10;</w:t>
      </w:r>
    </w:p>
    <w:p w:rsidR="002D750C" w:rsidRPr="002D750C" w:rsidRDefault="002D750C" w:rsidP="002D750C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0,85¸0,75 при числе молотков от 11 до 30;</w:t>
      </w:r>
    </w:p>
    <w:p w:rsidR="002D750C" w:rsidRPr="002D750C" w:rsidRDefault="002D750C" w:rsidP="002D750C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0,75¸0,65 при числе молотков от 31 до 60;</w:t>
      </w:r>
    </w:p>
    <w:p w:rsidR="002D750C" w:rsidRPr="002D750C" w:rsidRDefault="002D750C" w:rsidP="002D750C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0,65 при числе молотков свыше 60.</w:t>
      </w:r>
    </w:p>
    <w:p w:rsidR="002D750C" w:rsidRDefault="002D750C">
      <w:r>
        <w:rPr>
          <w:noProof/>
          <w:lang w:eastAsia="ru-RU"/>
        </w:rPr>
        <w:drawing>
          <wp:inline distT="0" distB="0" distL="0" distR="0" wp14:anchorId="61E74506" wp14:editId="519EFFD7">
            <wp:extent cx="5940425" cy="2219960"/>
            <wp:effectExtent l="0" t="0" r="317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Примечание: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таблице 1.3 в соответствии со схемой рисунок 1.1 в каждом пункте указывается количество и условное обозначение подсоединённых потребителей.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Например, в варианте 2 пункт Е имеет:</w:t>
      </w:r>
    </w:p>
    <w:p w:rsidR="002D750C" w:rsidRPr="002D750C" w:rsidRDefault="002D750C" w:rsidP="002D750C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2ок - 2 очистных комбайна;</w:t>
      </w:r>
    </w:p>
    <w:p w:rsidR="002D750C" w:rsidRPr="002D750C" w:rsidRDefault="002D750C" w:rsidP="002D750C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2ск - 2 скребковых конвейера;</w:t>
      </w:r>
    </w:p>
    <w:p w:rsidR="002D750C" w:rsidRPr="002D750C" w:rsidRDefault="002D750C" w:rsidP="002D750C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3гв - 3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гировоза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Аналогично расшифровывается количество и вид потребителей пневматической энергии в остальных пунктах подсоединения.</w:t>
      </w:r>
    </w:p>
    <w:p w:rsidR="002D750C" w:rsidRDefault="002D750C">
      <w:r>
        <w:rPr>
          <w:noProof/>
          <w:lang w:eastAsia="ru-RU"/>
        </w:rPr>
        <w:drawing>
          <wp:inline distT="0" distB="0" distL="0" distR="0" wp14:anchorId="2F984E93" wp14:editId="0440A6B7">
            <wp:extent cx="5940425" cy="267779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50C" w:rsidRDefault="002D750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  <w:t>Примечание: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в таблице 1.4 в соответствии с обозначениями на схеме рисунка 1.1 указаны расстояния между узловыми точками. Например, в варианте 8 расстояние между точками А и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 составляет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0,16 км. Прочерки означают отсутствие трубопровода в данном варианте.</w:t>
      </w:r>
    </w:p>
    <w:p w:rsidR="002D750C" w:rsidRDefault="002D750C">
      <w:r>
        <w:rPr>
          <w:noProof/>
          <w:lang w:eastAsia="ru-RU"/>
        </w:rPr>
        <w:drawing>
          <wp:inline distT="0" distB="0" distL="0" distR="0" wp14:anchorId="432198E6" wp14:editId="5A018FBC">
            <wp:extent cx="5940425" cy="200533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50C" w:rsidRPr="002D750C" w:rsidRDefault="002D750C" w:rsidP="002D750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D750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 xml:space="preserve">2. Эксплуатационный расчет и выбор электромеханического оборудования </w:t>
      </w:r>
      <w:proofErr w:type="spellStart"/>
      <w:r w:rsidRPr="002D750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 xml:space="preserve"> установки главного проветривания</w:t>
      </w:r>
    </w:p>
    <w:p w:rsidR="002D750C" w:rsidRPr="002D750C" w:rsidRDefault="002D750C" w:rsidP="002D750C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2D750C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2.1. Исходные данные</w:t>
      </w:r>
    </w:p>
    <w:p w:rsidR="002D750C" w:rsidRPr="002D750C" w:rsidRDefault="002D750C" w:rsidP="002D750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Эксплуатационными расчетами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 определяют параметры основного оборудования. При этом исходят из схемы вскрытия месторождения,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горногеологических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горнотехнических условий шахты, плана горных выработок,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категорийности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шахты и т.п. При проведении расчетов пользуются исходными данными по таблице 1.1, которые включают в себя:</w:t>
      </w:r>
    </w:p>
    <w:p w:rsidR="002D750C" w:rsidRPr="002D750C" w:rsidRDefault="002D750C" w:rsidP="002D750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потребный расход воздуха в горных выработках, м</w:t>
      </w:r>
      <w:r w:rsidRPr="002D750C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/с;</w:t>
      </w:r>
    </w:p>
    <w:p w:rsidR="002D750C" w:rsidRPr="002D750C" w:rsidRDefault="002D750C" w:rsidP="002D750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максимальная депрессия (компрессия) шахтной вентиляционной сети,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даПа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2D750C" w:rsidRPr="002D750C" w:rsidRDefault="002D750C" w:rsidP="002D750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минимальная депрессия (компрессия) шахтной вентиляционной сети,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даПа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2D750C" w:rsidRPr="002D750C" w:rsidRDefault="002D750C" w:rsidP="002D750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срок службы шахты, лет;</w:t>
      </w:r>
    </w:p>
    <w:p w:rsidR="002D750C" w:rsidRPr="002D750C" w:rsidRDefault="002D750C" w:rsidP="002D750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добыча полезного ископаемого за год, тонн;</w:t>
      </w:r>
    </w:p>
    <w:p w:rsidR="002D750C" w:rsidRPr="002D750C" w:rsidRDefault="002D750C" w:rsidP="002D750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схема проветривания шахты (рисунок 2.1, а или 2.2, б).</w:t>
      </w:r>
    </w:p>
    <w:p w:rsidR="002D750C" w:rsidRDefault="002D750C" w:rsidP="002D750C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2.2. Технологические схемы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вентиляторных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установок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Введение расчетно-пояснительной записки должно кратко характеризовать назначение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вентиляторной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установки главного проветривания, ее значение в повышении эффективности горного предприятия, основные требования, предъявляемые к расчету и эксплуатации оборудования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вентиляторной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установки.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Главные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вентиляторные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установки относятся к важнейшему шахтному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энергомеханическому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оборудованию. От надежности их работы зависят производительность труда, здоровье и безопасность шахтеров. Остановка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вентиляторной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установки хотя бы на 10 мин в газовой шахте приводит к заполнению подземных выработок метаном, углекислым газом и т.п., созданию чрезвычайно опасных ситуаций и прекращению работ по добыче угля и проходки горных выработок. Для обеспечения нормальной работы на каждую тонну угля необходимо подавать от 5 до 15 тонн воздуха, потребность горного предприятия в воздухе составляет от 10 до 700 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 xml:space="preserve">/с при давлении до 700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даПа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Высокая надежность и экономичность работы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вентиляторных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установок могут быть обеспечены только при правильном выборе, расчете и техническом обслуживании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оборудвания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D750C" w:rsidRDefault="002D750C" w:rsidP="002D750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Наиболее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распостраненные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схемы проветривания горных выработок шахт показаны на рисунке 2.1.</w:t>
      </w:r>
    </w:p>
    <w:p w:rsidR="002D750C" w:rsidRPr="002D750C" w:rsidRDefault="002D750C" w:rsidP="002D750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1B6C0C92" wp14:editId="1BA3311D">
            <wp:extent cx="5940425" cy="2810510"/>
            <wp:effectExtent l="0" t="0" r="317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2D750C">
        <w:rPr>
          <w:rFonts w:ascii="Arial" w:hAnsi="Arial" w:cs="Arial"/>
          <w:color w:val="000000"/>
          <w:sz w:val="21"/>
          <w:szCs w:val="21"/>
        </w:rPr>
        <w:t>Вентиляторная</w:t>
      </w:r>
      <w:proofErr w:type="spellEnd"/>
      <w:r w:rsidRPr="002D750C">
        <w:rPr>
          <w:rFonts w:ascii="Arial" w:hAnsi="Arial" w:cs="Arial"/>
          <w:color w:val="000000"/>
          <w:sz w:val="21"/>
          <w:szCs w:val="21"/>
        </w:rPr>
        <w:t xml:space="preserve"> установка главного проветривания состоит из двух однотипных вентиляторов (центробежных или осевых), устанавливаемых на поверхности у устья герметически закрытых стволов в отдельно стоящем здании. В соответствии с Правилами эксплуатации </w:t>
      </w:r>
      <w:proofErr w:type="spellStart"/>
      <w:r w:rsidRPr="002D750C">
        <w:rPr>
          <w:rFonts w:ascii="Arial" w:hAnsi="Arial" w:cs="Arial"/>
          <w:color w:val="000000"/>
          <w:sz w:val="21"/>
          <w:szCs w:val="21"/>
        </w:rPr>
        <w:t>вентиляторная</w:t>
      </w:r>
      <w:proofErr w:type="spellEnd"/>
      <w:r w:rsidRPr="002D750C">
        <w:rPr>
          <w:rFonts w:ascii="Arial" w:hAnsi="Arial" w:cs="Arial"/>
          <w:color w:val="000000"/>
          <w:sz w:val="21"/>
          <w:szCs w:val="21"/>
        </w:rPr>
        <w:t xml:space="preserve"> установка должна иметь запас по производительности, даже в самый трудный период проветривания, не менее 20% от его требуемой максимальной производительности. Реверсирование струи воздуха должно быть осуществлено не более чем за 10 мин, а производительность при этом должна составлять не менее 60% от </w:t>
      </w:r>
      <w:r w:rsidRPr="002D750C">
        <w:rPr>
          <w:rFonts w:ascii="Arial" w:hAnsi="Arial" w:cs="Arial"/>
          <w:color w:val="000000"/>
          <w:sz w:val="21"/>
          <w:szCs w:val="21"/>
        </w:rPr>
        <w:lastRenderedPageBreak/>
        <w:t xml:space="preserve">максимальной производительности. Рекомендуется применять до давления 300 </w:t>
      </w:r>
      <w:proofErr w:type="spellStart"/>
      <w:r w:rsidRPr="002D750C">
        <w:rPr>
          <w:rFonts w:ascii="Arial" w:hAnsi="Arial" w:cs="Arial"/>
          <w:color w:val="000000"/>
          <w:sz w:val="21"/>
          <w:szCs w:val="21"/>
        </w:rPr>
        <w:t>даПа</w:t>
      </w:r>
      <w:proofErr w:type="spellEnd"/>
      <w:r w:rsidRPr="002D750C">
        <w:rPr>
          <w:rFonts w:ascii="Arial" w:hAnsi="Arial" w:cs="Arial"/>
          <w:color w:val="000000"/>
          <w:sz w:val="21"/>
          <w:szCs w:val="21"/>
        </w:rPr>
        <w:t xml:space="preserve"> осевые вентиляторы, а свыше 300 </w:t>
      </w:r>
      <w:proofErr w:type="spellStart"/>
      <w:r w:rsidRPr="002D750C">
        <w:rPr>
          <w:rFonts w:ascii="Arial" w:hAnsi="Arial" w:cs="Arial"/>
          <w:color w:val="000000"/>
          <w:sz w:val="21"/>
          <w:szCs w:val="21"/>
        </w:rPr>
        <w:t>даПа</w:t>
      </w:r>
      <w:proofErr w:type="spellEnd"/>
      <w:r w:rsidRPr="002D750C">
        <w:rPr>
          <w:rFonts w:ascii="Arial" w:hAnsi="Arial" w:cs="Arial"/>
          <w:color w:val="000000"/>
          <w:sz w:val="21"/>
          <w:szCs w:val="21"/>
        </w:rPr>
        <w:t xml:space="preserve"> - центробежные вентиляторы.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Центробежные вентиляторы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характеризуются большей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напорностью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чем осевые, они надежно работают при окружных скоростях до 140 м/с, кроме того, их максимальный КПД составляет 0,86, что существенно выше, чем у осевых вентиляторов. Все это обусловливает применение центробежных машин для глубоких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труднопроветриваемых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(с большими депрессиями и расходами воздуха) шахт, где особенно остро стоят вопросы надежности проветривания, а каждый КПД обеспечивается сотнями тысяч кВт часов в год. В бывшем СССР центробежные вентиляторы начали разрабатываться в 1952 году.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Восьмидесятые годы двадцатого столетия в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вентиляторостроении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бывшего СССР ознаменовались изменением сложившихся взглядов об аэродинамике центробежных вентиляторов. Ранее аксиомой считалось, что коэффициент 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ψ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КПД настолько жестко связаны между собой, что высокоэкономичные схемы с загнутыми назад лопатками рабочих колес, характеризующиеся значениями 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η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0,88…0,91, не могут иметь 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φ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&gt;0,75. Повышение 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φ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полагалось возможным только за счет изменения конструкции рабочего колеса, что неизбежно влекло за собой рост величины относительных потерь в межлопаточных каналах и соответствующее снижение КПД.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основании теоретических и экспериментальных исследований удалось разработать такой профиль лопатки, при котором поток в межлопаточном канале перемещается на всем его протяжении с минимально возможными потерями давления, а на выходном участке безотрывно прижимается к рабочей поверхности и выходит из колеса под большим углом выхода лопатки. На базе таких профилей был создан ряд аэродинамических схем, обеспечивающих в номинальном режиме при 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η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0,9 коэффициент давления до 1. Коэффициент производительности 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φ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также превышает таковой у ранее использованных в шахтном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вентиляторостроении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схем.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Эти схемы положены в основу новых центробежных вентиляторов одностороннего всасывания ВЦВ 36,5 и двухстороннего всасывания ВЦД 37,5, основные параметры которых приведены в таблице 2.1, а аэродинамические характеристики представлены в приложениях Б1 и Б2. На базе новых схем удалось заменить вентилятор двухстороннего всасывания ВЦД 31,5М2 односторонним ВЦВ 36,5, а ВЦД 47,5У с диаметром рабочего колеса 4700 мм заменить ВЦД 37,5 с диаметром 3750 мм, обеспечив при этом уменьшение материалоемкости, трудоемкости и площади застройки почти вдвое. Опытные образцы ВЦВ 36,5 монтируются в установке главного проветривания на шахтах Донбасса.</w:t>
      </w:r>
    </w:p>
    <w:p w:rsidR="002D750C" w:rsidRDefault="002D750C">
      <w:r>
        <w:rPr>
          <w:noProof/>
          <w:lang w:eastAsia="ru-RU"/>
        </w:rPr>
        <w:drawing>
          <wp:inline distT="0" distB="0" distL="0" distR="0" wp14:anchorId="3A482DA8" wp14:editId="7644D3FC">
            <wp:extent cx="5940425" cy="189420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 ВЦВ 36,5 (ВЦВ - вентилятор центробежный вертикальный) имеет вертикальную ось вращения рабочего колеса.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рисунке 2.2 показан разрез шахтной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 главного проветривания с вентилятором ВЦВ 36,5. Рабочее колесо 1 состоит из коренного и покрывного дисков с расположенными между ними шестью лопатками трехслойной 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конструкции, имеющими на выходной части рабочей поверхности профиля участок обратной кривизны. Колесо 1 с помощью плоской ступицы закреплено на центрирующем бурте вала специального двухскоростного электродвигателя 2, подшипники скольжения которого рассчитаны на восприятие осевой нагрузки от массы Рабочего колеса и давления воздушного потока. Лапы двигателя установлены на раме 3, опорные площадки которой крепятся фундаментальными болтами к бетонным колонам, расположенным по периферии спиральной стенки кожуха 4, выполненной в бетоне.</w:t>
      </w:r>
    </w:p>
    <w:p w:rsidR="002D750C" w:rsidRDefault="002D750C">
      <w:r>
        <w:rPr>
          <w:noProof/>
          <w:lang w:eastAsia="ru-RU"/>
        </w:rPr>
        <w:drawing>
          <wp:inline distT="0" distB="0" distL="0" distR="0" wp14:anchorId="68A866F9" wp14:editId="096F5DA3">
            <wp:extent cx="5772150" cy="4000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вентиляторе ВЦВ 36,5 имеется входной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безлопаточный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вихревой аппарат, принцип действия которого основан на разделении идущего в вентилятор воздушного потока на транзитный и циркуляционный; первый поступает к рабочему колесу напрямую, а второй через кольцевую полость 8 и отверстия 9 во входном конусе, снабженные дефлекторами, подаются ко входу в колесо закрученными. Положение регулятора обуславливает соотношение транзитного и циркуляционного потоков, требуемую величину скорости закручивания потока на входное колесо, </w:t>
      </w:r>
      <w:proofErr w:type="gram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следовательно</w:t>
      </w:r>
      <w:proofErr w:type="gram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развиваемое вентилятором давление и потребляемую мощность. На аэродинамической характеристике (приложение Б1) показаны регулировочные кривые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sv</w:t>
      </w:r>
      <w:proofErr w:type="spellEnd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f(Q)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 = f(Q)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соответствующие различным углам поворота регулятора.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преимуществам вихревого направляющего аппарата относится отсутствие в потоке при работе вентилятора на номинальном режиме каких-либо элементов аппарата (регулятор 7 поднят вверх и является продолжением перекрытия канала), кроме того опоры оси регулятора расположены вне воздушного потока, несущего угольную и породную пыль, влагу и т.п. Таким образом, вентилятор ВЦВ 36,5 регулируется ступенчато изменением частоты вращения приводного двигателя (500 либо 600 мин</w:t>
      </w:r>
      <w:r w:rsidRPr="002D750C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-1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 бесступенчато на каждой частоте вращения с помощью вихревого направляющего аппарата.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установке, изображенной на рисунке 2.2, имеются четыре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ляды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осуществляющие переключение с рабочего вентилятора на резервный, и реверсирование воздушной среды. Ляда 10 отделяет вертикальный обводной канал 11 от диффузора; 12 - ляда реверса; 13 -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ляды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переключения, расположенные во входных каналах каждого из вентиляторов установки. На работающем вентиляторе ляда 13 поднята, а на резервном 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опущена, что позволяет отсечь резервный вентилятор от работающего и шахтной сети. При нормальной работе установки на всасывание воздух поступает от ствола шахты через всасывающий канал 14, коробку 6 и входной конус 5 к рабочему колесу 1, откуда выбрасывается в спиральный кожух 4 и далее через диффузор 15 и колено 16 в атмосферу.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Осевые вентиляторы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новыми аэродинамическими схемами позволили заменить двухступенчатые машины на одноступенчатые.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Осевые вентиляторы ВОА состоят из статорной части (кожух, кок, коллектор и диффузор) и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валопровода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Кожух имеет вертикальный разъем. Лопатки направляющего аппарата неподвижные профильные.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Валопровод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состоит из ротора и трансмиссионного вала, соединенных между собой зубчатыми муфтами. Двигатель вентилятора установлен на перекрытии подводящего канала. Моторная муфта совмещена со шкивом тормоза.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Между рабочим колесом и задней опорой ротора размещен привод поворота лопаток рабочих колес. Схема лопаточных венцов ВОА приведена на рисунке 2.3. Регулирование режима работы вентилятора осуществляется поворотом лопаток рабочих колес на углы от 15° до 45°.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Рабчее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колесо имеет восемь сдвоенных листовых лопаток. Как видно из схемы на рисунке 2.3, при реверсировании воздушной струи лопатки устанавливаются на угол 155° относительно плоскости вращения. Показанная схема весьма эффективна даже в том случае, когда вентилятор работает на максимальном угле 45° его производительность при реверсе составляет 75% от номинальной. Принятая в ВОА аэродинамическая схема обеспечивает также и рекордный для осевых вентиляторов статический КПД при работе установки с диффузором.</w:t>
      </w:r>
    </w:p>
    <w:p w:rsidR="002D750C" w:rsidRDefault="002D750C">
      <w:r>
        <w:rPr>
          <w:noProof/>
          <w:lang w:eastAsia="ru-RU"/>
        </w:rPr>
        <w:drawing>
          <wp:inline distT="0" distB="0" distL="0" distR="0" wp14:anchorId="0902C441" wp14:editId="74E8A11A">
            <wp:extent cx="5638800" cy="26955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50C" w:rsidRPr="002D750C" w:rsidRDefault="002D750C" w:rsidP="002D750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2D750C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2.3. Основная часть расчета </w:t>
      </w:r>
      <w:proofErr w:type="spellStart"/>
      <w:r w:rsidRPr="002D750C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установки</w:t>
      </w:r>
    </w:p>
    <w:p w:rsidR="002D750C" w:rsidRPr="002D750C" w:rsidRDefault="002D750C" w:rsidP="002D750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часть расчета должна содержать следующие разделы:</w:t>
      </w:r>
    </w:p>
    <w:p w:rsidR="002D750C" w:rsidRPr="002D750C" w:rsidRDefault="002D750C" w:rsidP="002D75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производительности вентилятора;</w:t>
      </w:r>
    </w:p>
    <w:p w:rsidR="002D750C" w:rsidRPr="002D750C" w:rsidRDefault="002D750C" w:rsidP="002D75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 вентилятора;</w:t>
      </w:r>
    </w:p>
    <w:p w:rsidR="002D750C" w:rsidRPr="002D750C" w:rsidRDefault="002D750C" w:rsidP="002D75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расчет характеристик внешней сети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 при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2D750C" w:rsidRPr="002D750C" w:rsidRDefault="002D750C" w:rsidP="002D75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определение действительного рабочего режима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установки, при этом определяются потребное число оборотов, углы установки лопаток рабочего колеса осевого вентилятора или углы установки лопаток направляющего аппарата центробежного вентилятора, КПД установки, резерв производительности при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2D750C" w:rsidRPr="002D750C" w:rsidRDefault="002D750C" w:rsidP="002D75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выбор способа регулирования и реверсирования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установки;</w:t>
      </w:r>
    </w:p>
    <w:p w:rsidR="002D750C" w:rsidRPr="002D750C" w:rsidRDefault="002D750C" w:rsidP="002D75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мощности и выбор электродвигателей для вентиляторов;</w:t>
      </w:r>
    </w:p>
    <w:p w:rsidR="002D750C" w:rsidRPr="002D750C" w:rsidRDefault="002D750C" w:rsidP="002D75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расчет технико-экономических показателей с определением суммарных годовых, капитальных и эксплуатационных затрат, расхода электроэнергии на 1 м</w:t>
      </w:r>
      <w:r w:rsidRPr="002D750C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подаваемого воздуха и на 1 тонну добытого полезного ископаемого;</w:t>
      </w:r>
    </w:p>
    <w:p w:rsidR="002D750C" w:rsidRPr="002D750C" w:rsidRDefault="002D750C" w:rsidP="002D750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выбор схемы автоматизации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 и описание схемы ее функционирования.</w:t>
      </w:r>
    </w:p>
    <w:p w:rsidR="002D750C" w:rsidRPr="002D750C" w:rsidRDefault="002D750C" w:rsidP="002D750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2D750C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2.4. Расчет и выбор оборудования вентиляционной установки</w:t>
      </w:r>
    </w:p>
    <w:p w:rsidR="002D750C" w:rsidRPr="002D750C" w:rsidRDefault="002D750C" w:rsidP="002D750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Эксплуатационный расчёт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 ведётся в следующей последовательности:</w:t>
      </w:r>
    </w:p>
    <w:p w:rsidR="002D750C" w:rsidRPr="002D750C" w:rsidRDefault="002D750C" w:rsidP="002D750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производительности вентиляторов</w:t>
      </w:r>
    </w:p>
    <w:p w:rsidR="002D750C" w:rsidRPr="002D750C" w:rsidRDefault="002D750C" w:rsidP="002D75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·Q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2D750C" w:rsidRPr="002D750C" w:rsidRDefault="002D750C" w:rsidP="002D750C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(2.1)</w:t>
      </w:r>
    </w:p>
    <w:p w:rsidR="002D750C" w:rsidRPr="002D750C" w:rsidRDefault="002D750C" w:rsidP="002D750C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коэффициент, учитывающий утечки воздуха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(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1,1…1,25).</w:t>
      </w:r>
    </w:p>
    <w:p w:rsidR="002D750C" w:rsidRPr="002D750C" w:rsidRDefault="002D750C" w:rsidP="002D750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 вентилятора</w:t>
      </w:r>
    </w:p>
    <w:p w:rsidR="002D750C" w:rsidRPr="002D750C" w:rsidRDefault="002D750C" w:rsidP="002D750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 диаграммам полей рабочих режимов, приведенных в справочниках и приложениях Б3 и Б4, производится выбор типа вентилятора путем нанесения на зоны промышленного исполнения вентиляторов экстремальных точек режимов работы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вентиляторных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установок.</w:t>
      </w:r>
    </w:p>
    <w:p w:rsidR="002D750C" w:rsidRPr="002D750C" w:rsidRDefault="002D750C" w:rsidP="002D750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обе точки попадают в рекомендуемые зоны работы двух и более вентиляторов, то предпочтительнее отдается вентилятору, имеющему наибольший КПД.</w:t>
      </w:r>
    </w:p>
    <w:p w:rsidR="002D750C" w:rsidRPr="002D750C" w:rsidRDefault="002D750C" w:rsidP="002D750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Индивидуальные характеристики осевых вентиляторов представлены в приложении Б5, а центробежных вентиляторов в приложении Б6.</w:t>
      </w:r>
    </w:p>
    <w:p w:rsidR="002D750C" w:rsidRPr="002D750C" w:rsidRDefault="002D750C" w:rsidP="002D750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Расчет характеристик внешней сети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установки:</w:t>
      </w:r>
    </w:p>
    <w:p w:rsidR="002D750C" w:rsidRPr="002D750C" w:rsidRDefault="002D750C" w:rsidP="002D750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численных значений коэффициентов сопротивления вентиляционной сети:</w:t>
      </w:r>
    </w:p>
    <w:p w:rsidR="002D750C" w:rsidRPr="002D750C" w:rsidRDefault="002D750C" w:rsidP="002D750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при максимальной депрессии коэффициент сопротивления сети:</w:t>
      </w:r>
    </w:p>
    <w:p w:rsidR="002D750C" w:rsidRDefault="002D750C">
      <w:r>
        <w:rPr>
          <w:noProof/>
          <w:lang w:eastAsia="ru-RU"/>
        </w:rPr>
        <w:drawing>
          <wp:inline distT="0" distB="0" distL="0" distR="0" wp14:anchorId="48004432" wp14:editId="2CE8C70D">
            <wp:extent cx="5940425" cy="291020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50C" w:rsidRPr="002D750C" w:rsidRDefault="002D750C" w:rsidP="002D750C">
      <w:pPr>
        <w:numPr>
          <w:ilvl w:val="0"/>
          <w:numId w:val="1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Определение действительного рабочего режима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определения действительного режима работы вентилятора на координатную плоскость (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 - Q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наносятся характеристики вентилятора (см. рисунок 2.4) при различных углах установки лопаток рабочего колеса осевого вентилятора или лопаток направляющего аппарата центробежного вентилятора. Затем в таком же масштабе по точкам 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Q, 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из таблицы 2.2 строятся характеристики внешней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сети.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точкам 1 и 2 (см. рисунок 2.4) пересечения характеристик внешней сети с характеристиками вентилятора определяем режим работы близкий к расчетному (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). При отсутствии системы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подрегулирования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вентилятора принимается производительность 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Q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соответствующая точкам 1 и 2.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тех случаях, когда при помощи лопаточных направляющих аппаратов может быть произведена корректировка напорной характеристики, рабочий режим вентилятора будет определяться подачей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расчетными дегрессиями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2D750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которым соответствуют точки 3 и 4 на рисунке 2.4.</w:t>
      </w:r>
    </w:p>
    <w:p w:rsidR="002D750C" w:rsidRDefault="002D750C">
      <w:r>
        <w:rPr>
          <w:noProof/>
          <w:lang w:eastAsia="ru-RU"/>
        </w:rPr>
        <w:drawing>
          <wp:inline distT="0" distB="0" distL="0" distR="0" wp14:anchorId="3ADA2B4B" wp14:editId="28E0A500">
            <wp:extent cx="5940425" cy="3865880"/>
            <wp:effectExtent l="0" t="0" r="3175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50C" w:rsidRPr="002D750C" w:rsidRDefault="002D750C" w:rsidP="002D750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1CABBDFC" wp14:editId="4097E229">
            <wp:extent cx="5940425" cy="2736215"/>
            <wp:effectExtent l="0" t="0" r="3175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84A43F" wp14:editId="053B73FC">
            <wp:extent cx="5940425" cy="1407795"/>
            <wp:effectExtent l="0" t="0" r="3175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50C">
        <w:rPr>
          <w:rFonts w:ascii="Arial" w:hAnsi="Arial" w:cs="Arial"/>
          <w:color w:val="000000"/>
          <w:sz w:val="21"/>
          <w:szCs w:val="21"/>
        </w:rPr>
        <w:t xml:space="preserve">Регулирование рабочего режима </w:t>
      </w:r>
      <w:proofErr w:type="spellStart"/>
      <w:r w:rsidRPr="002D750C">
        <w:rPr>
          <w:rFonts w:ascii="Arial" w:hAnsi="Arial" w:cs="Arial"/>
          <w:color w:val="000000"/>
          <w:sz w:val="21"/>
          <w:szCs w:val="21"/>
        </w:rPr>
        <w:t>вентиляторной</w:t>
      </w:r>
      <w:proofErr w:type="spellEnd"/>
      <w:r w:rsidRPr="002D750C">
        <w:rPr>
          <w:rFonts w:ascii="Arial" w:hAnsi="Arial" w:cs="Arial"/>
          <w:color w:val="000000"/>
          <w:sz w:val="21"/>
          <w:szCs w:val="21"/>
        </w:rPr>
        <w:t xml:space="preserve"> установки необходимо для поддержания его производительности независимо от изменения сопротивления внешней вентиляционной сети, т.е. независимо от </w:t>
      </w:r>
      <w:proofErr w:type="gramStart"/>
      <w:r w:rsidRPr="002D750C">
        <w:rPr>
          <w:rFonts w:ascii="Arial" w:hAnsi="Arial" w:cs="Arial"/>
          <w:color w:val="000000"/>
          <w:sz w:val="21"/>
          <w:szCs w:val="21"/>
        </w:rPr>
        <w:t>измене-</w:t>
      </w:r>
      <w:proofErr w:type="spellStart"/>
      <w:r w:rsidRPr="002D750C">
        <w:rPr>
          <w:rFonts w:ascii="Arial" w:hAnsi="Arial" w:cs="Arial"/>
          <w:color w:val="000000"/>
          <w:sz w:val="21"/>
          <w:szCs w:val="21"/>
        </w:rPr>
        <w:t>ния</w:t>
      </w:r>
      <w:proofErr w:type="spellEnd"/>
      <w:proofErr w:type="gramEnd"/>
      <w:r w:rsidRPr="002D750C">
        <w:rPr>
          <w:rFonts w:ascii="Arial" w:hAnsi="Arial" w:cs="Arial"/>
          <w:color w:val="000000"/>
          <w:sz w:val="21"/>
          <w:szCs w:val="21"/>
        </w:rPr>
        <w:t xml:space="preserve"> его характеристики.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Требуемые режимы, обеспечивающие необходимую производительность </w:t>
      </w:r>
      <w:proofErr w:type="spell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установки, могут быть достигнуты либо изменением характеристики вентиляционной сети, либо изменением характеристики вентилятора. При применяемом в настоящее время экономичном регулировании рабочего режима вентилятора изменением его характеристики беспрерывному изменению характеристики вентиляционной сети соответствует изменение характеристики вентилятора. Выбираем способ регулирования вентилятора в зависимости от выбранного типа вентилятора (осевого или центробежного).</w:t>
      </w:r>
    </w:p>
    <w:p w:rsidR="002D750C" w:rsidRPr="002D750C" w:rsidRDefault="002D750C" w:rsidP="002D750C">
      <w:pPr>
        <w:numPr>
          <w:ilvl w:val="0"/>
          <w:numId w:val="1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Реверсирование вентилятора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Как ранее отмечалось согласно требованиям Правил безопасности реверсирование воздушной струи должно быть произведено не более, чем за 10 мин, при этом подача воздуха в шахту должна составлять не менее 60 % его подачи </w:t>
      </w:r>
      <w:proofErr w:type="gramStart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нормальной направлении</w:t>
      </w:r>
      <w:proofErr w:type="gramEnd"/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вентиляционной струи.</w:t>
      </w:r>
    </w:p>
    <w:p w:rsidR="002D750C" w:rsidRPr="002D750C" w:rsidRDefault="002D750C" w:rsidP="002D750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D75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Выбираем способ реверсирования вентиляционной струи в зависимости от типа выбранного вентилятора (осевого или центробежного).</w:t>
      </w:r>
    </w:p>
    <w:p w:rsidR="002D750C" w:rsidRDefault="002D750C">
      <w:r>
        <w:rPr>
          <w:noProof/>
          <w:lang w:eastAsia="ru-RU"/>
        </w:rPr>
        <w:lastRenderedPageBreak/>
        <w:drawing>
          <wp:inline distT="0" distB="0" distL="0" distR="0" wp14:anchorId="284A36DD" wp14:editId="3632111B">
            <wp:extent cx="5940425" cy="3462655"/>
            <wp:effectExtent l="0" t="0" r="317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14626BD" wp14:editId="475623FB">
            <wp:extent cx="5940425" cy="2963545"/>
            <wp:effectExtent l="0" t="0" r="3175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3C1" w:rsidRPr="00AE33C1" w:rsidRDefault="00AE33C1" w:rsidP="00AE33C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Стоимость зданий и сооружений (вентиляционных каналов) можно определить исходя из их объема, устанавливаемого по наружным размерам (ориентировочно можно принимать 215 </w:t>
      </w:r>
      <w:proofErr w:type="spellStart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руб</w:t>
      </w:r>
      <w:proofErr w:type="spellEnd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 1 м</w:t>
      </w:r>
      <w:r w:rsidRPr="00AE33C1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объема).</w:t>
      </w:r>
    </w:p>
    <w:p w:rsidR="00AE33C1" w:rsidRPr="00AE33C1" w:rsidRDefault="00AE33C1" w:rsidP="00AE33C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Нормы амортизационных отчислений составляют:</w:t>
      </w:r>
    </w:p>
    <w:p w:rsidR="00AE33C1" w:rsidRPr="00AE33C1" w:rsidRDefault="00AE33C1" w:rsidP="00AE33C1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12 % - для механического оборудования, аппаратуры управления и пускорегулирующей аппаратуры;</w:t>
      </w:r>
    </w:p>
    <w:p w:rsidR="00AE33C1" w:rsidRPr="00AE33C1" w:rsidRDefault="00AE33C1" w:rsidP="00AE33C1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7,4 % - для электродвигателей мощностью свыше 100 кВт;</w:t>
      </w:r>
    </w:p>
    <w:p w:rsidR="00AE33C1" w:rsidRPr="00AE33C1" w:rsidRDefault="00AE33C1" w:rsidP="00AE33C1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3,2 % - для зданий и сооружений.</w:t>
      </w:r>
    </w:p>
    <w:p w:rsidR="00AE33C1" w:rsidRPr="00AE33C1" w:rsidRDefault="00AE33C1" w:rsidP="00AE33C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Среднегодовая стоимость технического обслуживания, текущих ремонтов и ревизий оборудования относительно не велика и составляет 57000…93000 руб.</w:t>
      </w:r>
    </w:p>
    <w:p w:rsidR="00AE33C1" w:rsidRPr="00AE33C1" w:rsidRDefault="00AE33C1" w:rsidP="00AE33C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Заработанная плата обслуживающего персонала складывается из основной оплаты и различного рода надбавок. При автоматизированных </w:t>
      </w:r>
      <w:proofErr w:type="spellStart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вентиляторных</w:t>
      </w:r>
      <w:proofErr w:type="spellEnd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установках </w:t>
      </w: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заработанную плату в расчетах можно не учитывать, т.к. постоянно дежурного персонала установка не имеет, а заработанная плата слесарей, периодически осматривающих установку, относится к </w:t>
      </w:r>
      <w:proofErr w:type="spellStart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общешахтным</w:t>
      </w:r>
      <w:proofErr w:type="spellEnd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расходам.</w:t>
      </w:r>
    </w:p>
    <w:p w:rsidR="00AE33C1" w:rsidRPr="00AE33C1" w:rsidRDefault="00AE33C1" w:rsidP="00AE33C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Стоимость материалов можно пренебречь, как величиной незначительной.</w:t>
      </w:r>
    </w:p>
    <w:p w:rsidR="00AE33C1" w:rsidRPr="00AE33C1" w:rsidRDefault="00AE33C1" w:rsidP="00AE33C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Таким образом, среднегодовые затраты </w:t>
      </w:r>
      <w:proofErr w:type="gramStart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сравнений</w:t>
      </w:r>
      <w:proofErr w:type="gramEnd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различных вариантов определяются по формуле:</w:t>
      </w:r>
    </w:p>
    <w:p w:rsidR="00AE33C1" w:rsidRPr="00AE33C1" w:rsidRDefault="00AE33C1" w:rsidP="00AE33C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С = </w:t>
      </w:r>
      <w:proofErr w:type="spellStart"/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э</w:t>
      </w:r>
      <w:proofErr w:type="spellEnd"/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+ </w:t>
      </w:r>
      <w:proofErr w:type="spellStart"/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а</w:t>
      </w:r>
      <w:proofErr w:type="spellEnd"/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+ </w:t>
      </w:r>
      <w:proofErr w:type="spellStart"/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Е·С</w:t>
      </w:r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proofErr w:type="spellEnd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AE33C1" w:rsidRPr="00AE33C1" w:rsidRDefault="00AE33C1" w:rsidP="00AE33C1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(2.12)</w:t>
      </w:r>
    </w:p>
    <w:p w:rsidR="00AE33C1" w:rsidRPr="00AE33C1" w:rsidRDefault="00AE33C1" w:rsidP="00AE33C1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э</w:t>
      </w:r>
      <w:proofErr w:type="spellEnd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среднегодовая стоимость электроэнергии;</w:t>
      </w:r>
    </w:p>
    <w:p w:rsidR="00AE33C1" w:rsidRPr="00AE33C1" w:rsidRDefault="00AE33C1" w:rsidP="00AE33C1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а</w:t>
      </w:r>
      <w:proofErr w:type="spellEnd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годовая сумма амортизационных отчислений;</w:t>
      </w:r>
    </w:p>
    <w:p w:rsidR="00AE33C1" w:rsidRPr="00AE33C1" w:rsidRDefault="00AE33C1" w:rsidP="00AE33C1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нормативный коэффициент эффективности капитальных вложений (</w:t>
      </w:r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0,14);</w:t>
      </w:r>
    </w:p>
    <w:p w:rsidR="00AE33C1" w:rsidRPr="00AE33C1" w:rsidRDefault="00AE33C1" w:rsidP="00AE33C1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E33C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</w:t>
      </w: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суммарная стоимость оборудования, монтажа, зданий и сооружений.</w:t>
      </w:r>
    </w:p>
    <w:p w:rsidR="00AE33C1" w:rsidRPr="00AE33C1" w:rsidRDefault="00AE33C1" w:rsidP="00AE33C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выборе вентилятора кроме экономических соображений необходимо учитывать и другие факторы. Например, при расположении </w:t>
      </w:r>
      <w:proofErr w:type="spellStart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 в границах населенного пункта целесообразно применять практически бесшумные центробежные вентиляторы.</w:t>
      </w:r>
    </w:p>
    <w:p w:rsidR="00AE33C1" w:rsidRPr="00AE33C1" w:rsidRDefault="00AE33C1" w:rsidP="00AE33C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Удельная стоимость электроэнергии и общая удельная стоимость подачи в шахту 1 м</w:t>
      </w:r>
      <w:r w:rsidRPr="00AE33C1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AE33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воздуха на 1 тонну добытого полезного ископаемого определяется по формулам:</w:t>
      </w:r>
    </w:p>
    <w:p w:rsidR="00AE33C1" w:rsidRDefault="00AE33C1">
      <w:r>
        <w:rPr>
          <w:noProof/>
          <w:lang w:eastAsia="ru-RU"/>
        </w:rPr>
        <w:drawing>
          <wp:inline distT="0" distB="0" distL="0" distR="0" wp14:anchorId="23DF2348" wp14:editId="452BC1F0">
            <wp:extent cx="5940425" cy="89789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65E" w:rsidRDefault="00BB565E" w:rsidP="00BB565E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2.6. Схема автоматизации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вентиляторной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установки</w:t>
      </w:r>
    </w:p>
    <w:p w:rsidR="00BB565E" w:rsidRDefault="00BB565E" w:rsidP="00BB565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Ручное управление шахтными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вентиляторными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установками не отвечает современным требованиям. Оно не обеспечивает необходимый уровень качества контроля и оперативности управления.</w:t>
      </w:r>
    </w:p>
    <w:p w:rsidR="00BB565E" w:rsidRDefault="00BB565E" w:rsidP="00BB565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Для автоматизации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вентиляторных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установок главного проветривания выпускается комплектная аппаратура автоматизации. Примерная структурная схема автоматизации приведена на рисунке 2.5. Современная аппаратура автоматизации обеспечивает работу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вентиляторной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установки без постоянного присутствия обслуживающего персонала и оперативное регулирование режима работы вентилятора для поддержания оптимальных параметров проветривания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вентиляторных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установок главного проветривания типа УКВГ, ЭРВГП-2, УКАВ-2.</w:t>
      </w:r>
    </w:p>
    <w:p w:rsidR="00BB565E" w:rsidRDefault="00BB565E" w:rsidP="00BB565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Комплекты аппаратуры типа УКВГ, ЭРВГП-2, серийно выпускавшиеся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Конотопским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заводом "Красный металлист", сняты с производства, как не отвечающим современным требованиям.</w:t>
      </w:r>
    </w:p>
    <w:p w:rsidR="00BB565E" w:rsidRDefault="00BB565E" w:rsidP="00BB565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настоящее время серийно изготавливается унифицированная аппаратура автоматизации шахтных вентиляторов УКАВ-2, разработанная институтами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Гипроуглеавтоматизация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Донгипроуглемаш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совместно с Харьковским электромеханическим заводом.</w:t>
      </w:r>
    </w:p>
    <w:p w:rsidR="00BB565E" w:rsidRDefault="00BB565E" w:rsidP="00BB565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Аппаратура УКАВ-2 предназначена для автоматизации установок, оснащенных одним или двумя осевыми (нереверсивными или реверсивными) или центробежными вентиляторами (одностороннего или двустороннего всасывания) с электроприводом от синхронных (асинхронных) двигателей высокого и низкого напряжения, а также двухдвигательным реверсивным электроприводом вентиляторов встречного вращения. Для управления вентиляторами, удаленными от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промплощадки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шахты, вместе с аппаратурой УКАВ-2 может быть применена любая аппаратура телемеханического управления, имеющая достаточную информационную емкость,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ТКУ-2.</w:t>
      </w:r>
    </w:p>
    <w:p w:rsidR="00BB565E" w:rsidRDefault="00BB565E">
      <w:r>
        <w:rPr>
          <w:noProof/>
          <w:lang w:eastAsia="ru-RU"/>
        </w:rPr>
        <w:drawing>
          <wp:inline distT="0" distB="0" distL="0" distR="0" wp14:anchorId="461D75CD" wp14:editId="0A820592">
            <wp:extent cx="5829300" cy="43243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действующих шахтах применяется аппаратура автоматизации.</w:t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Аппаратурой. УКАВ-2 обеспечивается также управление вспомогательными механизмами главных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вентиляторных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установок, основные данные </w:t>
      </w:r>
      <w:proofErr w:type="gram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приводных электродвигателей</w:t>
      </w:r>
      <w:proofErr w:type="gram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которых приведены в таблице 2.3, и электромагнитными тормозами вентиляторов.</w:t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Напряжение питания электроприводов - 10000, 6000, 380 и 220 В, цепей управления - 220 В. Аппаратура УКАВ-2 изготовляется в нормальном исполнении и предназначена для работы в условиях умеренного и холодного климата; категория размещения "4", но для работы при температурах окружающей среды от + 5 до + 35 °С.</w:t>
      </w:r>
    </w:p>
    <w:p w:rsidR="00BB565E" w:rsidRDefault="00BB565E">
      <w:r>
        <w:rPr>
          <w:noProof/>
          <w:lang w:eastAsia="ru-RU"/>
        </w:rPr>
        <w:lastRenderedPageBreak/>
        <w:drawing>
          <wp:inline distT="0" distB="0" distL="0" distR="0" wp14:anchorId="070B0A7D" wp14:editId="7416D255">
            <wp:extent cx="5667375" cy="18954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Унифицированный комплект аппаратуры позволяет осуществлять:</w:t>
      </w:r>
    </w:p>
    <w:p w:rsidR="00BB565E" w:rsidRPr="00BB565E" w:rsidRDefault="00BB565E" w:rsidP="00BB565E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автоматическое управление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установкой из диспетчерского пункта шахты;</w:t>
      </w:r>
    </w:p>
    <w:p w:rsidR="00BB565E" w:rsidRPr="00BB565E" w:rsidRDefault="00BB565E" w:rsidP="00BB565E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резервное полуавтоматическое управление из машинного помещения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установки;</w:t>
      </w:r>
    </w:p>
    <w:p w:rsidR="00BB565E" w:rsidRPr="00BB565E" w:rsidRDefault="00BB565E" w:rsidP="00BB565E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местное управление отдельными механизмами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вентиляторной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установки.</w:t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этом выполняются:</w:t>
      </w:r>
    </w:p>
    <w:p w:rsidR="00BB565E" w:rsidRPr="00BB565E" w:rsidRDefault="00BB565E" w:rsidP="00BB565E">
      <w:pPr>
        <w:numPr>
          <w:ilvl w:val="0"/>
          <w:numId w:val="1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автоматический контроль работы установки в автоматическом и полуавтоматическом режимах работы;</w:t>
      </w:r>
    </w:p>
    <w:p w:rsidR="00BB565E" w:rsidRPr="00BB565E" w:rsidRDefault="00BB565E" w:rsidP="00BB565E">
      <w:pPr>
        <w:numPr>
          <w:ilvl w:val="0"/>
          <w:numId w:val="1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частичное регулирование производительности вентилятора поворотом лопаток направляющего аппарата на ходу;</w:t>
      </w:r>
    </w:p>
    <w:p w:rsidR="00BB565E" w:rsidRPr="00BB565E" w:rsidRDefault="00BB565E" w:rsidP="00BB565E">
      <w:pPr>
        <w:numPr>
          <w:ilvl w:val="0"/>
          <w:numId w:val="1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автоматическое включение резервного вентилятора (в случае аварийного отключения рабочего агрегата);</w:t>
      </w:r>
    </w:p>
    <w:p w:rsidR="00BB565E" w:rsidRPr="00BB565E" w:rsidRDefault="00BB565E" w:rsidP="00BB565E">
      <w:pPr>
        <w:numPr>
          <w:ilvl w:val="0"/>
          <w:numId w:val="1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автоматический ввод резерва низкого напряжения.</w:t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возникновении аварии установка автоматически отключается. При нарушениях режима работы, не приводящих к аварии, диспетчеру подаются световой и звуковой сигналы. Выбор нормального или реверсивного режима работы осуществляется универсальным переключателем в </w:t>
      </w:r>
      <w:proofErr w:type="spellStart"/>
      <w:proofErr w:type="gram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по-мещении</w:t>
      </w:r>
      <w:proofErr w:type="spellEnd"/>
      <w:proofErr w:type="gram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машинного зала или тумблером из диспетчерского пункта.</w:t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Примерная структурная схема внешних связей аппаратуры УКАВ-2 управления одним вентилятором показана на рисунке 2.6. Схема внешних связей второго вентилятора аналогична приведенной, станция вспомогательных приводов - общая для двух вентиляторов.</w:t>
      </w:r>
    </w:p>
    <w:p w:rsidR="00BB565E" w:rsidRDefault="00BB565E">
      <w:r>
        <w:rPr>
          <w:noProof/>
          <w:lang w:eastAsia="ru-RU"/>
        </w:rPr>
        <w:lastRenderedPageBreak/>
        <w:drawing>
          <wp:inline distT="0" distB="0" distL="0" distR="0" wp14:anchorId="2CD31BD0" wp14:editId="5D528894">
            <wp:extent cx="5940425" cy="3331210"/>
            <wp:effectExtent l="0" t="0" r="317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состав комплекта аппаратуры УКАВ -2 в зависимости от типа и мощности главных и вспомогательных приводов входят следующие станции:</w:t>
      </w:r>
    </w:p>
    <w:p w:rsidR="00BB565E" w:rsidRPr="00BB565E" w:rsidRDefault="00BB565E" w:rsidP="00BB565E">
      <w:pPr>
        <w:numPr>
          <w:ilvl w:val="0"/>
          <w:numId w:val="1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автоматизации (три модификации): ШГС 8801-12М2 с аппаратурой управления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маслостанцией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ШГС 8802-13М2 без этой аппаратуры и ШГС 8803-13А2 для двухдвигательного электропривода;</w:t>
      </w:r>
    </w:p>
    <w:p w:rsidR="00BB565E" w:rsidRPr="00BB565E" w:rsidRDefault="00BB565E" w:rsidP="00BB565E">
      <w:pPr>
        <w:numPr>
          <w:ilvl w:val="0"/>
          <w:numId w:val="1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ШГС 9509-00М2 (без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логомера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 или ШГС 9510-00М2 (с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логомером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контрольно-измерительных приборов (КИП);</w:t>
      </w:r>
    </w:p>
    <w:p w:rsidR="00BB565E" w:rsidRPr="00BB565E" w:rsidRDefault="00BB565E" w:rsidP="00BB565E">
      <w:pPr>
        <w:numPr>
          <w:ilvl w:val="0"/>
          <w:numId w:val="1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ШГС 9101-53М2 возбуждения;</w:t>
      </w:r>
    </w:p>
    <w:p w:rsidR="00BB565E" w:rsidRPr="00BB565E" w:rsidRDefault="00BB565E" w:rsidP="00BB565E">
      <w:pPr>
        <w:numPr>
          <w:ilvl w:val="0"/>
          <w:numId w:val="1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ШГС 9502-4ЗМ2 вспомогательных приводов;</w:t>
      </w:r>
    </w:p>
    <w:p w:rsidR="00BB565E" w:rsidRPr="00BB565E" w:rsidRDefault="00BB565E" w:rsidP="00BB565E">
      <w:pPr>
        <w:numPr>
          <w:ilvl w:val="0"/>
          <w:numId w:val="1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ШГС 9504-13А2 дополнительных вспомогательных приводов;</w:t>
      </w:r>
    </w:p>
    <w:p w:rsidR="00BB565E" w:rsidRPr="00BB565E" w:rsidRDefault="00BB565E" w:rsidP="00BB565E">
      <w:pPr>
        <w:numPr>
          <w:ilvl w:val="0"/>
          <w:numId w:val="1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статорная реверсивная (две модификации по току приводного двигателя): ШГС 7501-43М2 (на ток до 400 А) и ШГС 7501-63М2 (на ток до 630 А);</w:t>
      </w:r>
    </w:p>
    <w:p w:rsidR="00BB565E" w:rsidRPr="00BB565E" w:rsidRDefault="00BB565E" w:rsidP="00BB565E">
      <w:pPr>
        <w:numPr>
          <w:ilvl w:val="0"/>
          <w:numId w:val="1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статорная нереверсивная (две модификации по току приводного двигателя): ШГС 7502-43М2 (на ток до 400 А) и ШГС 7502-63М2 (на ток до 630 А);</w:t>
      </w:r>
    </w:p>
    <w:p w:rsidR="00BB565E" w:rsidRPr="00BB565E" w:rsidRDefault="00BB565E" w:rsidP="00BB565E">
      <w:pPr>
        <w:numPr>
          <w:ilvl w:val="0"/>
          <w:numId w:val="1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роторная ШГС 6704-69М2.</w:t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Комплект аппаратуры конструктивно выполнен в виде шкафов управления одностороннего обслуживания, которые могут быть объединены в щит управления.</w:t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Габариты и масса станций, входящих в аппаратуру УКАВ-2, приведены в таблице 2.4.</w:t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зависимости от типа электропривода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вентиляторный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агрегат комплектуется станциями управления в соответствии с данными таблицы 2.5 (в таблице число станций указано на два вентилятора).</w:t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каждой станции предусматриваются резервные реле и свободные клеммы, а на станции автоматизации - резервные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блинкеры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автомат АП-50.</w:t>
      </w:r>
    </w:p>
    <w:p w:rsidR="00BB565E" w:rsidRPr="00BB565E" w:rsidRDefault="00BB565E" w:rsidP="00BB565E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Приборы контроля депрессии и производительности поставляются заводом-изготовителем вентиляторов в комплекте с технологическим оборудованием. Аппаратура контроля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маслосмазки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поставляется комплектно с масляной системой. Конечные выключатели положения ляд поставляются заводом-изготовителем вентиляторов.</w:t>
      </w:r>
    </w:p>
    <w:p w:rsidR="00BB565E" w:rsidRDefault="00BB565E">
      <w:r>
        <w:rPr>
          <w:noProof/>
          <w:lang w:eastAsia="ru-RU"/>
        </w:rPr>
        <w:lastRenderedPageBreak/>
        <w:drawing>
          <wp:inline distT="0" distB="0" distL="0" distR="0" wp14:anchorId="2DA5B76B" wp14:editId="41793DA4">
            <wp:extent cx="5781675" cy="26289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CBE4A4B" wp14:editId="6340B7F1">
            <wp:extent cx="5940425" cy="288290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65E" w:rsidRPr="00BB565E" w:rsidRDefault="00BB565E" w:rsidP="00BB565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B565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Список рекомендуемой литературы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Автоматизация шахтных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вентиляторных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установок. Изд. 2-е /Б.Х.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Богопольский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М.А. Левин, К.П. Бочаров, К.В.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Бакшт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М.: Недра 1976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33" w:tgtFrame="_blank" w:history="1">
        <w:r w:rsidRPr="00BB565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11004-84</w:t>
        </w:r>
      </w:hyperlink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Вентиляторы шахтные главного проветривания. Технические условия. Изд-во стандартов.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Димашенко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 Д. и др. Шахтные электрические лебёдки и подъёмные машины. М., Недра, 1973.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Заводин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Л. Ф. Шахтные подъёмные установки. Изд. 2-е,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М., Недра, 1975, 368 с.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Картавый Н. Г. Стационарные машины: Учебник для вузов. М.: Недра, 1981, 327 с.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Картавый Н. Г., Топорков А. А. Шахтные стационарные установки. М.: Недра, 1978, 263 с.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Песвианидзе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 В. Расчёт шахтных подъёмных установок. Учебное пособие для вузов. - М., «Недра», 1992, - 250 с.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Попов В.М. Водоотливные установки: Справочное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пособ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- М.: Недра. 1990. - 254 с.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Правила безопасности в угольных шахтах. - Самара: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Самф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Дом печати, 1995. - 242 с.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технической эксплуатации угольных и сланцевых шахт. М.: Недра, 1996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Руководство по техническому обслуживанию шахтных </w:t>
      </w:r>
      <w:proofErr w:type="spellStart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вентиляторных</w:t>
      </w:r>
      <w:proofErr w:type="spellEnd"/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установок главного проветривания. М.: Недра 1983</w:t>
      </w:r>
    </w:p>
    <w:p w:rsidR="00BB565E" w:rsidRPr="00BB565E" w:rsidRDefault="00BB565E" w:rsidP="00BB565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B5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Стационарные установки шахт. Под общей редакцией Б. Ф. Братченко. М.: Недра, 1977, 438 с.</w:t>
      </w:r>
    </w:p>
    <w:p w:rsidR="00BB565E" w:rsidRDefault="00BB565E">
      <w:bookmarkStart w:id="0" w:name="_GoBack"/>
      <w:bookmarkEnd w:id="0"/>
    </w:p>
    <w:sectPr w:rsidR="00BB5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4280C"/>
    <w:multiLevelType w:val="multilevel"/>
    <w:tmpl w:val="F93AC3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E106F"/>
    <w:multiLevelType w:val="multilevel"/>
    <w:tmpl w:val="581C9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77F13"/>
    <w:multiLevelType w:val="multilevel"/>
    <w:tmpl w:val="C5A0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91DBF"/>
    <w:multiLevelType w:val="multilevel"/>
    <w:tmpl w:val="E09EC9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6D2813"/>
    <w:multiLevelType w:val="multilevel"/>
    <w:tmpl w:val="19AE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BB52A2"/>
    <w:multiLevelType w:val="multilevel"/>
    <w:tmpl w:val="AEC08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70E16"/>
    <w:multiLevelType w:val="multilevel"/>
    <w:tmpl w:val="45C2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30564"/>
    <w:multiLevelType w:val="multilevel"/>
    <w:tmpl w:val="E7B4A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62562E"/>
    <w:multiLevelType w:val="multilevel"/>
    <w:tmpl w:val="DFC2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B7426D"/>
    <w:multiLevelType w:val="multilevel"/>
    <w:tmpl w:val="4064A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960B01"/>
    <w:multiLevelType w:val="multilevel"/>
    <w:tmpl w:val="BC384C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A5434E"/>
    <w:multiLevelType w:val="multilevel"/>
    <w:tmpl w:val="8C20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AE14C6"/>
    <w:multiLevelType w:val="multilevel"/>
    <w:tmpl w:val="454828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9F5E91"/>
    <w:multiLevelType w:val="multilevel"/>
    <w:tmpl w:val="30E2D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A470E7"/>
    <w:multiLevelType w:val="multilevel"/>
    <w:tmpl w:val="1D24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1D589E"/>
    <w:multiLevelType w:val="multilevel"/>
    <w:tmpl w:val="EA345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DC6E1D"/>
    <w:multiLevelType w:val="multilevel"/>
    <w:tmpl w:val="5170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5"/>
  </w:num>
  <w:num w:numId="3">
    <w:abstractNumId w:val="4"/>
  </w:num>
  <w:num w:numId="4">
    <w:abstractNumId w:val="2"/>
  </w:num>
  <w:num w:numId="5">
    <w:abstractNumId w:val="9"/>
  </w:num>
  <w:num w:numId="6">
    <w:abstractNumId w:val="11"/>
  </w:num>
  <w:num w:numId="7">
    <w:abstractNumId w:val="5"/>
  </w:num>
  <w:num w:numId="8">
    <w:abstractNumId w:val="1"/>
  </w:num>
  <w:num w:numId="9">
    <w:abstractNumId w:val="12"/>
  </w:num>
  <w:num w:numId="10">
    <w:abstractNumId w:val="0"/>
  </w:num>
  <w:num w:numId="11">
    <w:abstractNumId w:val="3"/>
  </w:num>
  <w:num w:numId="12">
    <w:abstractNumId w:val="10"/>
  </w:num>
  <w:num w:numId="13">
    <w:abstractNumId w:val="14"/>
  </w:num>
  <w:num w:numId="14">
    <w:abstractNumId w:val="13"/>
  </w:num>
  <w:num w:numId="15">
    <w:abstractNumId w:val="8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DF4"/>
    <w:rsid w:val="002D750C"/>
    <w:rsid w:val="008A737F"/>
    <w:rsid w:val="009E5DF4"/>
    <w:rsid w:val="00AE33C1"/>
    <w:rsid w:val="00BB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8D372"/>
  <w15:chartTrackingRefBased/>
  <w15:docId w15:val="{5C297191-B028-4262-8DC8-1263A16E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75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D75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5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75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2D7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D750C"/>
    <w:rPr>
      <w:b/>
      <w:bCs/>
    </w:rPr>
  </w:style>
  <w:style w:type="character" w:styleId="a4">
    <w:name w:val="Hyperlink"/>
    <w:basedOn w:val="a0"/>
    <w:uiPriority w:val="99"/>
    <w:semiHidden/>
    <w:unhideWhenUsed/>
    <w:rsid w:val="002D750C"/>
    <w:rPr>
      <w:color w:val="0000FF"/>
      <w:u w:val="single"/>
    </w:rPr>
  </w:style>
  <w:style w:type="character" w:customStyle="1" w:styleId="form">
    <w:name w:val="form"/>
    <w:basedOn w:val="a0"/>
    <w:rsid w:val="002D750C"/>
  </w:style>
  <w:style w:type="paragraph" w:customStyle="1" w:styleId="gde">
    <w:name w:val="gde"/>
    <w:basedOn w:val="a"/>
    <w:rsid w:val="002D7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402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2782926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344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871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686839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898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820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039756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964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65028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7916117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367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750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09320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2865430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6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86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361782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96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8901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878711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14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32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3650334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104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08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334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729533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334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hyperlink" Target="http://docs.cntd.ru/document/1200045443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hyperlink" Target="http://docs.cntd.ru/document/gost-11004-84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gost-2-301-68-eskd" TargetMode="External"/><Relationship Id="rId11" Type="http://schemas.openxmlformats.org/officeDocument/2006/relationships/hyperlink" Target="http://docs.cntd.ru/document/gost-2-106-96-eskd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5" Type="http://schemas.openxmlformats.org/officeDocument/2006/relationships/hyperlink" Target="http://docs.cntd.ru/document/gost-2-105-95-eskd" TargetMode="Externa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hyperlink" Target="http://docs.cntd.ru/document/1200003503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gost-2-303-68-eskd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theme" Target="theme/theme1.xml"/><Relationship Id="rId8" Type="http://schemas.openxmlformats.org/officeDocument/2006/relationships/hyperlink" Target="http://docs.cntd.ru/document/12000065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18</Pages>
  <Words>4250</Words>
  <Characters>24230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2021-09-23T13:30:00Z</dcterms:created>
  <dcterms:modified xsi:type="dcterms:W3CDTF">2021-09-23T14:12:00Z</dcterms:modified>
</cp:coreProperties>
</file>