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23FA" w:rsidRDefault="006C23FA" w:rsidP="006C23FA"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Эксплуатация и наладка систем ТГВ</w:t>
      </w:r>
    </w:p>
    <w:tbl>
      <w:tblPr>
        <w:tblW w:w="935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0"/>
      </w:tblGrid>
      <w:tr w:rsidR="006C23FA" w:rsidRPr="006C23FA" w:rsidTr="006C23FA">
        <w:trPr>
          <w:trHeight w:val="315"/>
          <w:tblCellSpacing w:w="0" w:type="dxa"/>
        </w:trPr>
        <w:tc>
          <w:tcPr>
            <w:tcW w:w="0" w:type="auto"/>
            <w:shd w:val="clear" w:color="auto" w:fill="06639A"/>
            <w:vAlign w:val="center"/>
            <w:hideMark/>
          </w:tcPr>
          <w:p w:rsidR="006C23FA" w:rsidRPr="006C23FA" w:rsidRDefault="006C23FA" w:rsidP="006C23F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FFFFFF"/>
                <w:kern w:val="36"/>
                <w:sz w:val="27"/>
                <w:szCs w:val="27"/>
                <w:lang w:eastAsia="ru-RU"/>
              </w:rPr>
            </w:pPr>
            <w:r w:rsidRPr="006C23FA">
              <w:rPr>
                <w:rFonts w:ascii="Times New Roman" w:eastAsia="Times New Roman" w:hAnsi="Times New Roman" w:cs="Times New Roman"/>
                <w:b/>
                <w:bCs/>
                <w:color w:val="FFFFFF"/>
                <w:kern w:val="36"/>
                <w:sz w:val="27"/>
                <w:szCs w:val="27"/>
                <w:lang w:eastAsia="ru-RU"/>
              </w:rPr>
              <w:t>Контрольная работа</w:t>
            </w:r>
          </w:p>
        </w:tc>
      </w:tr>
      <w:tr w:rsidR="006C23FA" w:rsidRPr="006C23FA" w:rsidTr="006C23FA">
        <w:trPr>
          <w:tblCellSpacing w:w="0" w:type="dxa"/>
        </w:trPr>
        <w:tc>
          <w:tcPr>
            <w:tcW w:w="0" w:type="auto"/>
            <w:hideMark/>
          </w:tcPr>
          <w:p w:rsidR="006C23FA" w:rsidRPr="006C23FA" w:rsidRDefault="006C23FA" w:rsidP="006C23FA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3333FF"/>
                <w:sz w:val="24"/>
                <w:szCs w:val="24"/>
                <w:lang w:eastAsia="ru-RU"/>
              </w:rPr>
            </w:pPr>
            <w:r w:rsidRPr="006C23FA">
              <w:rPr>
                <w:rFonts w:ascii="Times New Roman" w:eastAsia="Times New Roman" w:hAnsi="Times New Roman" w:cs="Times New Roman"/>
                <w:b/>
                <w:bCs/>
                <w:color w:val="3333FF"/>
                <w:sz w:val="24"/>
                <w:szCs w:val="24"/>
                <w:lang w:eastAsia="ru-RU"/>
              </w:rPr>
              <w:t>1 Цели и задачи</w:t>
            </w:r>
          </w:p>
          <w:p w:rsidR="006C23FA" w:rsidRPr="006C23FA" w:rsidRDefault="006C23FA" w:rsidP="006C23FA">
            <w:pPr>
              <w:spacing w:after="30" w:line="240" w:lineRule="auto"/>
              <w:ind w:left="150" w:right="150"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3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Контрольная работа выполняется с целью закрепления знаний по дисциплине "Эксплуатация и наладка систем ТГ" и развития навыков самостоятельного рассмотрения вопросов наладки гидравлических режимов теплоснабжения.</w:t>
            </w:r>
          </w:p>
          <w:p w:rsidR="006C23FA" w:rsidRPr="006C23FA" w:rsidRDefault="006C23FA" w:rsidP="006C23FA">
            <w:pPr>
              <w:spacing w:after="30" w:line="240" w:lineRule="auto"/>
              <w:ind w:left="150" w:right="150"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3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Задачами контрольной работы являются:</w:t>
            </w:r>
          </w:p>
          <w:p w:rsidR="006C23FA" w:rsidRPr="006C23FA" w:rsidRDefault="006C23FA" w:rsidP="006C23FA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300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3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практическое овладение методикой наладки гидравлических режимов теплоснабжения;</w:t>
            </w:r>
          </w:p>
          <w:p w:rsidR="006C23FA" w:rsidRPr="006C23FA" w:rsidRDefault="006C23FA" w:rsidP="006C23FA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300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3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вариантов схематических решений прокладки трубопроводов и выбор оптимального решения;</w:t>
            </w:r>
          </w:p>
          <w:p w:rsidR="006C23FA" w:rsidRPr="006C23FA" w:rsidRDefault="006C23FA" w:rsidP="006C23FA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300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3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получение элементарных навыков построения пьезометрических графиков;</w:t>
            </w:r>
          </w:p>
          <w:p w:rsidR="006C23FA" w:rsidRPr="006C23FA" w:rsidRDefault="006C23FA" w:rsidP="006C23FA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300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3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гидравлических расчетов тепловых сетей;</w:t>
            </w:r>
          </w:p>
          <w:p w:rsidR="006C23FA" w:rsidRPr="006C23FA" w:rsidRDefault="006C23FA" w:rsidP="006C23FA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300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3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практических навыков оформления и выпуска конструкторской документации в соответствии с ГОСТ.</w:t>
            </w:r>
          </w:p>
          <w:p w:rsidR="006C23FA" w:rsidRPr="006C23FA" w:rsidRDefault="006C23FA" w:rsidP="006C23FA">
            <w:pPr>
              <w:spacing w:after="30" w:line="240" w:lineRule="auto"/>
              <w:ind w:left="150" w:right="150"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3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решения перечисленных задач необходимо знание не только курса "Эксплуатация и наладка систем ТГВ", но и ряда смежных дисциплин, изучаемых в 1-6 семестрах, а также умение пользоваться действующими нормативными документами и справочной литературой</w:t>
            </w:r>
          </w:p>
        </w:tc>
      </w:tr>
    </w:tbl>
    <w:p w:rsidR="00904EC8" w:rsidRDefault="006C23FA" w:rsidP="006C23FA">
      <w:r>
        <w:t xml:space="preserve"> </w:t>
      </w:r>
    </w:p>
    <w:tbl>
      <w:tblPr>
        <w:tblW w:w="9067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67"/>
      </w:tblGrid>
      <w:tr w:rsidR="006C23FA" w:rsidTr="006C23FA">
        <w:trPr>
          <w:trHeight w:val="315"/>
          <w:tblCellSpacing w:w="0" w:type="dxa"/>
        </w:trPr>
        <w:tc>
          <w:tcPr>
            <w:tcW w:w="0" w:type="auto"/>
            <w:shd w:val="clear" w:color="auto" w:fill="06639A"/>
            <w:vAlign w:val="center"/>
            <w:hideMark/>
          </w:tcPr>
          <w:p w:rsidR="006C23FA" w:rsidRDefault="006C23FA">
            <w:pPr>
              <w:pStyle w:val="1"/>
              <w:spacing w:before="0" w:beforeAutospacing="0" w:after="0" w:afterAutospacing="0"/>
              <w:jc w:val="center"/>
              <w:rPr>
                <w:color w:val="FFFFFF"/>
                <w:sz w:val="27"/>
                <w:szCs w:val="27"/>
              </w:rPr>
            </w:pPr>
            <w:r>
              <w:rPr>
                <w:color w:val="FFFFFF"/>
                <w:sz w:val="27"/>
                <w:szCs w:val="27"/>
              </w:rPr>
              <w:t>Контрольная работа</w:t>
            </w:r>
          </w:p>
        </w:tc>
      </w:tr>
      <w:tr w:rsidR="006C23FA" w:rsidTr="006C23FA">
        <w:trPr>
          <w:tblCellSpacing w:w="0" w:type="dxa"/>
        </w:trPr>
        <w:tc>
          <w:tcPr>
            <w:tcW w:w="0" w:type="auto"/>
            <w:hideMark/>
          </w:tcPr>
          <w:p w:rsidR="006C23FA" w:rsidRDefault="006C23FA">
            <w:pPr>
              <w:pStyle w:val="2"/>
              <w:spacing w:before="0" w:beforeAutospacing="0" w:after="0" w:afterAutospacing="0"/>
              <w:jc w:val="center"/>
              <w:rPr>
                <w:color w:val="3333FF"/>
                <w:sz w:val="24"/>
                <w:szCs w:val="24"/>
              </w:rPr>
            </w:pPr>
            <w:r>
              <w:rPr>
                <w:color w:val="3333FF"/>
                <w:sz w:val="24"/>
                <w:szCs w:val="24"/>
              </w:rPr>
              <w:t>2 Основные требования</w:t>
            </w:r>
          </w:p>
          <w:bookmarkStart w:id="0" w:name="t1"/>
          <w:p w:rsidR="006C23FA" w:rsidRDefault="006C23FA">
            <w:pPr>
              <w:pStyle w:val="3"/>
              <w:spacing w:before="225" w:after="225"/>
              <w:ind w:firstLine="567"/>
              <w:rPr>
                <w:color w:val="000066"/>
              </w:rPr>
            </w:pPr>
            <w:r>
              <w:rPr>
                <w:color w:val="000066"/>
              </w:rPr>
              <w:fldChar w:fldCharType="begin"/>
            </w:r>
            <w:r>
              <w:rPr>
                <w:color w:val="000066"/>
              </w:rPr>
              <w:instrText xml:space="preserve"> HYPERLINK "https://i-institute.tsu.tula.ru/moodle/pluginfile.php/16070/mod_resource/content/0/exploitation/kora/kora2/kora_2_1.html" \l "21" </w:instrText>
            </w:r>
            <w:r>
              <w:rPr>
                <w:color w:val="000066"/>
              </w:rPr>
              <w:fldChar w:fldCharType="separate"/>
            </w:r>
            <w:r>
              <w:rPr>
                <w:rStyle w:val="a3"/>
                <w:color w:val="000099"/>
              </w:rPr>
              <w:t>2.1 Тематика контрольной работы</w:t>
            </w:r>
            <w:r>
              <w:rPr>
                <w:color w:val="000066"/>
              </w:rPr>
              <w:fldChar w:fldCharType="end"/>
            </w:r>
          </w:p>
          <w:p w:rsidR="006C23FA" w:rsidRDefault="006C23FA">
            <w:pPr>
              <w:pStyle w:val="3"/>
              <w:spacing w:before="225" w:after="225"/>
              <w:ind w:firstLine="567"/>
              <w:rPr>
                <w:color w:val="000066"/>
              </w:rPr>
            </w:pPr>
            <w:hyperlink r:id="rId5" w:anchor="22" w:history="1">
              <w:r>
                <w:rPr>
                  <w:rStyle w:val="a3"/>
                  <w:color w:val="000099"/>
                </w:rPr>
                <w:t>2.2 Исходные данные к контрольной  работе</w:t>
              </w:r>
            </w:hyperlink>
          </w:p>
          <w:p w:rsidR="006C23FA" w:rsidRDefault="006C23FA">
            <w:pPr>
              <w:pStyle w:val="3"/>
              <w:spacing w:before="225" w:after="225"/>
              <w:ind w:firstLine="567"/>
              <w:rPr>
                <w:color w:val="000066"/>
              </w:rPr>
            </w:pPr>
            <w:hyperlink r:id="rId6" w:anchor="23" w:history="1">
              <w:r>
                <w:rPr>
                  <w:rStyle w:val="a3"/>
                  <w:color w:val="000099"/>
                </w:rPr>
                <w:t>2.3 Объем контрольной работы</w:t>
              </w:r>
            </w:hyperlink>
          </w:p>
          <w:p w:rsidR="006C23FA" w:rsidRDefault="006C23FA">
            <w:pPr>
              <w:pStyle w:val="3"/>
              <w:spacing w:before="225" w:after="225"/>
              <w:ind w:firstLine="567"/>
              <w:rPr>
                <w:color w:val="000066"/>
              </w:rPr>
            </w:pPr>
            <w:hyperlink r:id="rId7" w:anchor="24" w:history="1">
              <w:r>
                <w:rPr>
                  <w:rStyle w:val="a3"/>
                  <w:color w:val="000099"/>
                </w:rPr>
                <w:t>2.4 Защита контрольной работы</w:t>
              </w:r>
            </w:hyperlink>
            <w:bookmarkEnd w:id="0"/>
          </w:p>
          <w:bookmarkStart w:id="1" w:name="21"/>
          <w:bookmarkEnd w:id="1"/>
          <w:p w:rsidR="006C23FA" w:rsidRDefault="006C23FA">
            <w:pPr>
              <w:pStyle w:val="3"/>
              <w:spacing w:before="225" w:after="225"/>
              <w:jc w:val="center"/>
              <w:rPr>
                <w:color w:val="000066"/>
              </w:rPr>
            </w:pPr>
            <w:r>
              <w:rPr>
                <w:color w:val="000066"/>
              </w:rPr>
              <w:fldChar w:fldCharType="begin"/>
            </w:r>
            <w:r>
              <w:rPr>
                <w:color w:val="000066"/>
              </w:rPr>
              <w:instrText xml:space="preserve"> HYPERLINK "https://i-institute.tsu.tula.ru/moodle/pluginfile.php/16070/mod_resource/content/0/exploitation/kora/kora2/kora_2_1.html" \l "t1" </w:instrText>
            </w:r>
            <w:r>
              <w:rPr>
                <w:color w:val="000066"/>
              </w:rPr>
              <w:fldChar w:fldCharType="separate"/>
            </w:r>
            <w:r>
              <w:rPr>
                <w:rStyle w:val="a3"/>
                <w:color w:val="000099"/>
              </w:rPr>
              <w:t>2.1 Тематика контрольной работы</w:t>
            </w:r>
            <w:r>
              <w:rPr>
                <w:color w:val="000066"/>
              </w:rPr>
              <w:fldChar w:fldCharType="end"/>
            </w:r>
          </w:p>
          <w:p w:rsidR="006C23FA" w:rsidRDefault="006C23FA">
            <w:pPr>
              <w:pStyle w:val="otstup"/>
              <w:spacing w:before="0" w:beforeAutospacing="0" w:after="30" w:afterAutospacing="0"/>
              <w:ind w:left="150" w:right="150" w:firstLine="567"/>
            </w:pPr>
            <w:r>
              <w:t xml:space="preserve">В соответствии с вариантом задания необходимо произвести гидравлический расчет тепловой сети, подобрать оборудование источника теплоснабжения, рассчитать оборудование подкачивающей насосной станции. Основное внимание должно быть уделено выбору оптимального варианта </w:t>
            </w:r>
            <w:proofErr w:type="gramStart"/>
            <w:r>
              <w:t>схемы  сети</w:t>
            </w:r>
            <w:proofErr w:type="gramEnd"/>
            <w:r>
              <w:t>, технологии выполнения гидравлических расчетов трубопроводов и методике расчета режимов теплоснабжения, изложенной в действующих нормативных документах.</w:t>
            </w:r>
          </w:p>
          <w:bookmarkStart w:id="2" w:name="22"/>
          <w:bookmarkEnd w:id="2"/>
          <w:p w:rsidR="006C23FA" w:rsidRDefault="006C23FA">
            <w:pPr>
              <w:pStyle w:val="3"/>
              <w:spacing w:before="225" w:after="225"/>
              <w:jc w:val="center"/>
              <w:rPr>
                <w:color w:val="000066"/>
              </w:rPr>
            </w:pPr>
            <w:r>
              <w:rPr>
                <w:color w:val="000066"/>
              </w:rPr>
              <w:fldChar w:fldCharType="begin"/>
            </w:r>
            <w:r>
              <w:rPr>
                <w:color w:val="000066"/>
              </w:rPr>
              <w:instrText xml:space="preserve"> HYPERLINK "https://i-institute.tsu.tula.ru/moodle/pluginfile.php/16070/mod_resource/content/0/exploitation/kora/kora2/kora_2_1.html" \l "t1" </w:instrText>
            </w:r>
            <w:r>
              <w:rPr>
                <w:color w:val="000066"/>
              </w:rPr>
              <w:fldChar w:fldCharType="separate"/>
            </w:r>
            <w:r>
              <w:rPr>
                <w:rStyle w:val="a3"/>
                <w:color w:val="000099"/>
              </w:rPr>
              <w:t>2.2 Исходные данные к контрольной работе</w:t>
            </w:r>
            <w:r>
              <w:rPr>
                <w:color w:val="000066"/>
              </w:rPr>
              <w:fldChar w:fldCharType="end"/>
            </w:r>
          </w:p>
          <w:p w:rsidR="006C23FA" w:rsidRDefault="006C23FA">
            <w:pPr>
              <w:pStyle w:val="otstup"/>
              <w:spacing w:before="0" w:beforeAutospacing="0" w:after="30" w:afterAutospacing="0"/>
              <w:ind w:left="150" w:right="150" w:firstLine="567"/>
            </w:pPr>
            <w:r>
              <w:t>Исходные данные для выполнения контрольной работы содержатся в задании на курсовое проектирование.</w:t>
            </w:r>
          </w:p>
          <w:bookmarkStart w:id="3" w:name="23"/>
          <w:bookmarkEnd w:id="3"/>
          <w:p w:rsidR="006C23FA" w:rsidRDefault="006C23FA">
            <w:pPr>
              <w:pStyle w:val="3"/>
              <w:spacing w:before="225" w:after="225"/>
              <w:jc w:val="center"/>
              <w:rPr>
                <w:color w:val="000066"/>
              </w:rPr>
            </w:pPr>
            <w:r>
              <w:rPr>
                <w:color w:val="000066"/>
              </w:rPr>
              <w:fldChar w:fldCharType="begin"/>
            </w:r>
            <w:r>
              <w:rPr>
                <w:color w:val="000066"/>
              </w:rPr>
              <w:instrText xml:space="preserve"> HYPERLINK "https://i-institute.tsu.tula.ru/moodle/pluginfile.php/16070/mod_resource/content/0/exploitation/kora/kora2/kora_2_1.html" \l "t1" </w:instrText>
            </w:r>
            <w:r>
              <w:rPr>
                <w:color w:val="000066"/>
              </w:rPr>
              <w:fldChar w:fldCharType="separate"/>
            </w:r>
            <w:r>
              <w:rPr>
                <w:rStyle w:val="a3"/>
                <w:color w:val="000099"/>
              </w:rPr>
              <w:t>2.3 Объем контрольной работы</w:t>
            </w:r>
            <w:r>
              <w:rPr>
                <w:color w:val="000066"/>
              </w:rPr>
              <w:fldChar w:fldCharType="end"/>
            </w:r>
          </w:p>
          <w:p w:rsidR="006C23FA" w:rsidRDefault="006C23FA">
            <w:pPr>
              <w:pStyle w:val="otstup"/>
              <w:spacing w:before="0" w:beforeAutospacing="0" w:after="30" w:afterAutospacing="0"/>
              <w:ind w:left="150" w:right="150" w:firstLine="567"/>
            </w:pPr>
            <w:r>
              <w:t>Работа состоит из расчетно-пояснительной записки и графической части.</w:t>
            </w:r>
          </w:p>
          <w:p w:rsidR="006C23FA" w:rsidRDefault="006C23FA">
            <w:pPr>
              <w:pStyle w:val="otstup"/>
              <w:spacing w:before="0" w:beforeAutospacing="0" w:after="30" w:afterAutospacing="0"/>
              <w:ind w:left="150" w:right="150" w:firstLine="567"/>
            </w:pPr>
            <w:r>
              <w:t>Графическая часть работы выполняется на одном листе формата А2 и должна содержать:</w:t>
            </w:r>
          </w:p>
          <w:p w:rsidR="006C23FA" w:rsidRDefault="006C23FA" w:rsidP="006C23FA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ind w:left="300" w:right="75"/>
            </w:pPr>
            <w:r>
              <w:t>принципиальную схему тепловой сети населенного пункта;</w:t>
            </w:r>
          </w:p>
          <w:p w:rsidR="006C23FA" w:rsidRDefault="006C23FA" w:rsidP="006C23FA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ind w:left="300" w:right="75"/>
            </w:pPr>
            <w:r>
              <w:t>пьезометрический график расчетного режима теплоснабжения.</w:t>
            </w:r>
          </w:p>
          <w:p w:rsidR="006C23FA" w:rsidRDefault="006C23FA">
            <w:pPr>
              <w:pStyle w:val="otstup"/>
              <w:spacing w:before="0" w:beforeAutospacing="0" w:after="30" w:afterAutospacing="0"/>
              <w:ind w:left="150" w:right="150" w:firstLine="567"/>
            </w:pPr>
            <w:r>
              <w:t>Пояснительная записка должна содержать следующие разделы:</w:t>
            </w:r>
          </w:p>
          <w:p w:rsidR="006C23FA" w:rsidRDefault="006C23FA" w:rsidP="006C23FA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ind w:left="300" w:right="75"/>
            </w:pPr>
            <w:r>
              <w:t>гидравлический расчет действующей тепловой сети;</w:t>
            </w:r>
          </w:p>
          <w:p w:rsidR="006C23FA" w:rsidRDefault="006C23FA" w:rsidP="006C23FA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ind w:left="300" w:right="75"/>
            </w:pPr>
            <w:r>
              <w:t>подбор оборудования источника теплоснабжения;</w:t>
            </w:r>
          </w:p>
          <w:p w:rsidR="006C23FA" w:rsidRDefault="006C23FA" w:rsidP="006C23FA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ind w:left="300" w:right="75"/>
            </w:pPr>
            <w:r>
              <w:t>расчет подкачивающей насосной станции;</w:t>
            </w:r>
          </w:p>
          <w:p w:rsidR="006C23FA" w:rsidRDefault="006C23FA" w:rsidP="006C23FA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ind w:left="300" w:right="75"/>
            </w:pPr>
            <w:r>
              <w:t>гидравлический расчет действующей тепловой сети с подкачивающей насосной станцией</w:t>
            </w:r>
          </w:p>
          <w:p w:rsidR="006C23FA" w:rsidRDefault="006C23FA">
            <w:pPr>
              <w:pStyle w:val="otstup"/>
              <w:spacing w:before="0" w:beforeAutospacing="0" w:after="30" w:afterAutospacing="0"/>
              <w:ind w:left="150" w:right="150" w:firstLine="567"/>
            </w:pPr>
            <w:r>
              <w:t>Каждый подраздел в обязательном порядке должен содержать необходимые таблицы, графики и рисунки.</w:t>
            </w:r>
          </w:p>
          <w:bookmarkStart w:id="4" w:name="24"/>
          <w:bookmarkEnd w:id="4"/>
          <w:p w:rsidR="006C23FA" w:rsidRDefault="006C23FA">
            <w:pPr>
              <w:pStyle w:val="3"/>
              <w:spacing w:before="225" w:after="225"/>
              <w:jc w:val="center"/>
              <w:rPr>
                <w:color w:val="000066"/>
              </w:rPr>
            </w:pPr>
            <w:r>
              <w:rPr>
                <w:color w:val="000066"/>
              </w:rPr>
              <w:fldChar w:fldCharType="begin"/>
            </w:r>
            <w:r>
              <w:rPr>
                <w:color w:val="000066"/>
              </w:rPr>
              <w:instrText xml:space="preserve"> HYPERLINK "https://i-institute.tsu.tula.ru/moodle/pluginfile.php/16070/mod_resource/content/0/exploitation/kora/kora2/kora_2_1.html" \l "t1" </w:instrText>
            </w:r>
            <w:r>
              <w:rPr>
                <w:color w:val="000066"/>
              </w:rPr>
              <w:fldChar w:fldCharType="separate"/>
            </w:r>
            <w:r>
              <w:rPr>
                <w:rStyle w:val="a3"/>
                <w:color w:val="000099"/>
              </w:rPr>
              <w:t>2.4 Защита контрольной работы</w:t>
            </w:r>
            <w:r>
              <w:rPr>
                <w:color w:val="000066"/>
              </w:rPr>
              <w:fldChar w:fldCharType="end"/>
            </w:r>
          </w:p>
          <w:p w:rsidR="006C23FA" w:rsidRDefault="006C23FA">
            <w:pPr>
              <w:pStyle w:val="otstup"/>
              <w:spacing w:before="0" w:beforeAutospacing="0" w:after="30" w:afterAutospacing="0"/>
              <w:ind w:left="150" w:right="150" w:firstLine="567"/>
            </w:pPr>
            <w:r>
              <w:t>Контрольная работа подписывается руководителем к защите, если ее объем и содержание соответствуют настоящим указаниям.</w:t>
            </w:r>
          </w:p>
          <w:p w:rsidR="006C23FA" w:rsidRDefault="006C23FA">
            <w:pPr>
              <w:pStyle w:val="otstup"/>
              <w:spacing w:before="0" w:beforeAutospacing="0" w:after="30" w:afterAutospacing="0"/>
              <w:ind w:left="150" w:right="150" w:firstLine="567"/>
            </w:pPr>
            <w:r>
              <w:t>Защита контрольной работы студентом производится в назначенные сроки. В процессе защиты студент должен кратко доложить результаты каждого из этапов выполненной им работы и ответить на вопросы преподавателя. Оценка контрольной работы производится в соответствии с уровнем знаний, выявленным в процессе защиты и качеством выполненной работы.</w:t>
            </w:r>
          </w:p>
          <w:p w:rsidR="006C23FA" w:rsidRDefault="006C23FA">
            <w:pPr>
              <w:pStyle w:val="otstup"/>
              <w:spacing w:before="0" w:beforeAutospacing="0" w:after="30" w:afterAutospacing="0"/>
              <w:ind w:left="150" w:right="150" w:firstLine="567"/>
            </w:pPr>
            <w:r>
              <w:t>В случае неудовлетворительной оценки студенту выдается новое задание на проектирование.</w:t>
            </w:r>
          </w:p>
        </w:tc>
      </w:tr>
    </w:tbl>
    <w:p w:rsidR="006C23FA" w:rsidRDefault="006C23FA" w:rsidP="006C23FA">
      <w:pPr>
        <w:pStyle w:val="2"/>
        <w:shd w:val="clear" w:color="auto" w:fill="FFFFFF"/>
        <w:spacing w:before="0" w:beforeAutospacing="0" w:after="0" w:afterAutospacing="0"/>
        <w:jc w:val="center"/>
        <w:rPr>
          <w:color w:val="3333FF"/>
          <w:sz w:val="24"/>
          <w:szCs w:val="24"/>
        </w:rPr>
      </w:pPr>
      <w:r>
        <w:rPr>
          <w:color w:val="3333FF"/>
          <w:sz w:val="24"/>
          <w:szCs w:val="24"/>
        </w:rPr>
        <w:t>3 Методические указания</w:t>
      </w:r>
    </w:p>
    <w:p w:rsidR="006C23FA" w:rsidRDefault="006C23FA" w:rsidP="006C23FA">
      <w:pPr>
        <w:pStyle w:val="3"/>
        <w:shd w:val="clear" w:color="auto" w:fill="FFFFFF"/>
        <w:spacing w:before="225" w:after="225"/>
        <w:jc w:val="center"/>
        <w:rPr>
          <w:color w:val="000066"/>
        </w:rPr>
      </w:pPr>
      <w:r>
        <w:rPr>
          <w:color w:val="000066"/>
        </w:rPr>
        <w:t>Построение пьезометрического графика действующей тепловой сети</w:t>
      </w:r>
    </w:p>
    <w:p w:rsidR="006C23FA" w:rsidRDefault="006C23FA" w:rsidP="006C23FA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Построение пьезометрического графика производится по результатам гидравлического расчета. При построении графика рекомендуется соблюдать ниже приведенную последовательность и требования.</w:t>
      </w:r>
    </w:p>
    <w:p w:rsidR="006C23FA" w:rsidRDefault="006C23FA" w:rsidP="006C23FA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Наносится координатная сетка в масштабе:</w:t>
      </w:r>
    </w:p>
    <w:p w:rsidR="006C23FA" w:rsidRDefault="006C23FA" w:rsidP="006C23F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по вертикали (для отсчета напоров) 1:500 или 1:1000 с горизонтальными линиями через 5 или 10 м;</w:t>
      </w:r>
    </w:p>
    <w:p w:rsidR="006C23FA" w:rsidRDefault="006C23FA" w:rsidP="006C23F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по горизонтали (для отсчета расстояний) 1:5000 или 1:10000 с вертикальными линиями через узловые точки магистрали.</w:t>
      </w:r>
    </w:p>
    <w:p w:rsidR="006C23FA" w:rsidRDefault="006C23FA" w:rsidP="006C23FA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Выбирается начало координат. За начало координат принимается точка, совпадающая с осью сетевого насоса. Условно считается, что ось сетевого насоса, оси теплопроводов и нагревательные приборы на первых этажах зданий совпадают с отметкой поверхности земли. Линия</w:t>
      </w:r>
      <w:r>
        <w:rPr>
          <w:i/>
          <w:iCs/>
          <w:color w:val="000000"/>
          <w:sz w:val="27"/>
          <w:szCs w:val="27"/>
        </w:rPr>
        <w:t> I–I</w:t>
      </w:r>
      <w:r>
        <w:rPr>
          <w:color w:val="000000"/>
          <w:sz w:val="27"/>
          <w:szCs w:val="27"/>
        </w:rPr>
        <w:t>, проведенная через ось сетевого насоса, представляет собой </w:t>
      </w:r>
      <w:r>
        <w:rPr>
          <w:i/>
          <w:iCs/>
          <w:color w:val="000000"/>
          <w:sz w:val="27"/>
          <w:szCs w:val="27"/>
        </w:rPr>
        <w:t>условную геодезическую отметку</w:t>
      </w:r>
      <w:r>
        <w:rPr>
          <w:color w:val="000000"/>
          <w:sz w:val="27"/>
          <w:szCs w:val="27"/>
        </w:rPr>
        <w:t>, равную нулю, от которой производится отсчет напоров и геодезических уровней рельефа местности.</w:t>
      </w:r>
    </w:p>
    <w:p w:rsidR="006C23FA" w:rsidRDefault="006C23FA" w:rsidP="006C23FA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По геодезическим отметкам генплана района (рис. 1) строится профиль трассы магистрального направления и ответвлений. В узловых точках трассы (в местах ответвлений и на вводах к потребителям) проставляются отметки земли. (Отметки потолка, пола канала, и другие отметки сооружения указываются на профиле </w:t>
      </w:r>
      <w:r>
        <w:rPr>
          <w:rStyle w:val="style1"/>
          <w:color w:val="000000"/>
          <w:sz w:val="27"/>
          <w:szCs w:val="27"/>
        </w:rPr>
        <w:t>(рис. 15)</w:t>
      </w:r>
      <w:r>
        <w:rPr>
          <w:color w:val="000000"/>
          <w:sz w:val="27"/>
          <w:szCs w:val="27"/>
        </w:rPr>
        <w:t> после проработки строительных конструкций тепловых сетей).</w:t>
      </w:r>
    </w:p>
    <w:p w:rsidR="006C23FA" w:rsidRDefault="006C23FA" w:rsidP="006C23FA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Наносятся высоты зданий или других абонентских потребителей. (Если требуется более подробная информация по присоединенным абонентам, то указывается отметка </w:t>
      </w:r>
      <w:r>
        <w:rPr>
          <w:color w:val="000000"/>
          <w:sz w:val="27"/>
          <w:szCs w:val="27"/>
        </w:rPr>
        <w:lastRenderedPageBreak/>
        <w:t>низа отапливаемых подвалов. Для этого из отметки поверхности рельефа, на которой находится здание, вычитается высота подвала 2...2,5 м. Так находится нижняя отметка здания. Верхняя отметка находится прибавлением к отметке уровня земли высоты системы отопления, условно считая ее равной высоте здания. Если в квартале здания размещены на различных отметках местности, то нижняя отметка в квартале определяется по самому низкорасположенному зданию, а верхняя отметка – по самому высокорасположенному зданию). Далее приступают к построению гидростатического и гидродинамического режимов теплоснабжения.</w:t>
      </w:r>
    </w:p>
    <w:p w:rsidR="006C23FA" w:rsidRDefault="006C23FA" w:rsidP="006C23FA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rPr>
          <w:color w:val="000000"/>
          <w:sz w:val="27"/>
          <w:szCs w:val="27"/>
        </w:rPr>
      </w:pPr>
      <w:r>
        <w:rPr>
          <w:i/>
          <w:iCs/>
          <w:color w:val="000000"/>
          <w:sz w:val="27"/>
          <w:szCs w:val="27"/>
        </w:rPr>
        <w:t>Гидростатический</w:t>
      </w:r>
      <w:r>
        <w:rPr>
          <w:color w:val="000000"/>
          <w:sz w:val="27"/>
          <w:szCs w:val="27"/>
        </w:rPr>
        <w:t xml:space="preserve"> режим. Гидростатическое (или просто статическое) состояние системы теплоснабжения обеспечивается работой </w:t>
      </w:r>
      <w:proofErr w:type="spellStart"/>
      <w:r>
        <w:rPr>
          <w:color w:val="000000"/>
          <w:sz w:val="27"/>
          <w:szCs w:val="27"/>
        </w:rPr>
        <w:t>подпиточных</w:t>
      </w:r>
      <w:proofErr w:type="spellEnd"/>
      <w:r>
        <w:rPr>
          <w:color w:val="000000"/>
          <w:sz w:val="27"/>
          <w:szCs w:val="27"/>
        </w:rPr>
        <w:t xml:space="preserve"> насосов </w:t>
      </w:r>
      <w:r>
        <w:rPr>
          <w:rStyle w:val="style1"/>
          <w:color w:val="000000"/>
          <w:sz w:val="27"/>
          <w:szCs w:val="27"/>
        </w:rPr>
        <w:t>(рис. 14)</w:t>
      </w:r>
      <w:r>
        <w:rPr>
          <w:color w:val="000000"/>
          <w:sz w:val="27"/>
          <w:szCs w:val="27"/>
        </w:rPr>
        <w:t>, предназначенных для нагнетания в подающем и обратном трубопроводах давления, достаточного для заполнения отопительных приборов на верхних этажах всех зданий в районе. В этом режиме циркуляция воды в системе отсутствует, а система заполняется водой с температурой до 100 °С. Для надежности заполнения отопительных приборов на верхних этажах принимается запас напора не менее </w:t>
      </w:r>
      <w:r>
        <w:rPr>
          <w:i/>
          <w:iCs/>
          <w:color w:val="000000"/>
          <w:sz w:val="27"/>
          <w:szCs w:val="27"/>
        </w:rPr>
        <w:t>Н*</w:t>
      </w:r>
      <w:r>
        <w:rPr>
          <w:color w:val="000000"/>
          <w:sz w:val="27"/>
          <w:szCs w:val="27"/>
        </w:rPr>
        <w:t> ≥ 5 м выше наиболее высокого здания. Этот уровень напора называется </w:t>
      </w:r>
      <w:r>
        <w:rPr>
          <w:i/>
          <w:iCs/>
          <w:color w:val="000000"/>
          <w:sz w:val="27"/>
          <w:szCs w:val="27"/>
        </w:rPr>
        <w:t>статическим</w:t>
      </w:r>
      <w:r>
        <w:rPr>
          <w:color w:val="000000"/>
          <w:sz w:val="27"/>
          <w:szCs w:val="27"/>
        </w:rPr>
        <w:t>, на графике обозначается линией </w:t>
      </w:r>
      <w:r>
        <w:rPr>
          <w:i/>
          <w:iCs/>
          <w:color w:val="000000"/>
          <w:sz w:val="27"/>
          <w:szCs w:val="27"/>
        </w:rPr>
        <w:t>S–S</w:t>
      </w:r>
      <w:r>
        <w:rPr>
          <w:color w:val="000000"/>
          <w:sz w:val="27"/>
          <w:szCs w:val="27"/>
        </w:rPr>
        <w:t xml:space="preserve">, откладываемой на высоте, равной напору </w:t>
      </w:r>
      <w:proofErr w:type="spellStart"/>
      <w:r>
        <w:rPr>
          <w:color w:val="000000"/>
          <w:sz w:val="27"/>
          <w:szCs w:val="27"/>
        </w:rPr>
        <w:t>подпиточного</w:t>
      </w:r>
      <w:proofErr w:type="spellEnd"/>
      <w:r>
        <w:rPr>
          <w:color w:val="000000"/>
          <w:sz w:val="27"/>
          <w:szCs w:val="27"/>
        </w:rPr>
        <w:t xml:space="preserve"> насоса </w:t>
      </w:r>
      <w:proofErr w:type="spellStart"/>
      <w:r>
        <w:rPr>
          <w:i/>
          <w:iCs/>
          <w:color w:val="000000"/>
          <w:sz w:val="27"/>
          <w:szCs w:val="27"/>
        </w:rPr>
        <w:t>Н</w:t>
      </w:r>
      <w:r>
        <w:rPr>
          <w:i/>
          <w:iCs/>
          <w:color w:val="000000"/>
          <w:sz w:val="27"/>
          <w:szCs w:val="27"/>
          <w:vertAlign w:val="subscript"/>
        </w:rPr>
        <w:t>пн</w:t>
      </w:r>
      <w:proofErr w:type="spellEnd"/>
      <w:r>
        <w:rPr>
          <w:color w:val="000000"/>
          <w:sz w:val="27"/>
          <w:szCs w:val="27"/>
        </w:rPr>
        <w:t>. В статическом режиме напоры в подающем и обратном трубопроводах одинаковы на любом расстоянии от источника, так как трубопроводы, сообщаются между собой через отопительные приборы. Статический режим поддерживается непрерывно, в том числе и при аварийном останове тепловых сетей, чтобы не происходило опорожнение отопительных приборов.</w:t>
      </w:r>
    </w:p>
    <w:p w:rsidR="006C23FA" w:rsidRDefault="006C23FA" w:rsidP="006C23FA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При зависимых схемах присоединения отопительно-вентиляционных установок статический напор не должен превышать допустимых рабочих напоров теплоприемников. (Системы отопления с чугунными радиаторами, отопительные бетонные панели допускают напор 60 м; системы отопления с радиаторами "Аккорд", конвекторами любого типа и системы приточной вентиляции допускают напор 100 м. Напор, который испытывает теплоприемник, определяется величиной напора за теплоприемником, сложенный с величиной гидравлического сопротивления самого теплоприемника. В общем случае, напор на абонентском вводе определяется суммой напора в обратном трубопроводе и потерей напора в теплоприемнике).</w:t>
      </w:r>
    </w:p>
    <w:p w:rsidR="006C23FA" w:rsidRDefault="006C23FA" w:rsidP="006C23FA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Окончательное положение статической линии </w:t>
      </w:r>
      <w:r>
        <w:rPr>
          <w:i/>
          <w:iCs/>
          <w:color w:val="000000"/>
          <w:sz w:val="27"/>
          <w:szCs w:val="27"/>
        </w:rPr>
        <w:t>S-S</w:t>
      </w:r>
      <w:r>
        <w:rPr>
          <w:color w:val="000000"/>
          <w:sz w:val="27"/>
          <w:szCs w:val="27"/>
        </w:rPr>
        <w:t xml:space="preserve"> корректируется после подбора марки </w:t>
      </w:r>
      <w:proofErr w:type="spellStart"/>
      <w:r>
        <w:rPr>
          <w:color w:val="000000"/>
          <w:sz w:val="27"/>
          <w:szCs w:val="27"/>
        </w:rPr>
        <w:t>подпиточного</w:t>
      </w:r>
      <w:proofErr w:type="spellEnd"/>
      <w:r>
        <w:rPr>
          <w:color w:val="000000"/>
          <w:sz w:val="27"/>
          <w:szCs w:val="27"/>
        </w:rPr>
        <w:t xml:space="preserve"> насоса.</w:t>
      </w:r>
    </w:p>
    <w:p w:rsidR="006C23FA" w:rsidRDefault="006C23FA" w:rsidP="006C23FA">
      <w:pPr>
        <w:pStyle w:val="a4"/>
        <w:shd w:val="clear" w:color="auto" w:fill="FFFFFF"/>
        <w:spacing w:before="0" w:beforeAutospacing="0" w:after="30" w:afterAutospacing="0"/>
        <w:ind w:left="150" w:right="150"/>
        <w:jc w:val="center"/>
        <w:rPr>
          <w:color w:val="000000"/>
          <w:sz w:val="27"/>
          <w:szCs w:val="27"/>
        </w:rPr>
      </w:pPr>
      <w:r>
        <w:rPr>
          <w:noProof/>
        </w:rPr>
        <w:drawing>
          <wp:inline distT="0" distB="0" distL="0" distR="0" wp14:anchorId="11C330A9" wp14:editId="3EC79413">
            <wp:extent cx="3838575" cy="38481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838575" cy="384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i/>
          <w:iCs/>
          <w:color w:val="000000"/>
          <w:sz w:val="27"/>
          <w:szCs w:val="27"/>
        </w:rPr>
        <w:t>Рисунок 1 – Принципиальная схема системы теплоснабжения и пьезометрический график:</w:t>
      </w:r>
    </w:p>
    <w:p w:rsidR="006C23FA" w:rsidRDefault="006C23FA" w:rsidP="006C23FA">
      <w:pPr>
        <w:pStyle w:val="a4"/>
        <w:shd w:val="clear" w:color="auto" w:fill="FFFFFF"/>
        <w:spacing w:before="0" w:beforeAutospacing="0" w:after="30" w:afterAutospacing="0"/>
        <w:ind w:left="150" w:right="150"/>
        <w:jc w:val="center"/>
        <w:rPr>
          <w:color w:val="000000"/>
          <w:sz w:val="27"/>
          <w:szCs w:val="27"/>
        </w:rPr>
      </w:pPr>
      <w:r>
        <w:rPr>
          <w:i/>
          <w:iCs/>
          <w:color w:val="000000"/>
          <w:sz w:val="27"/>
          <w:szCs w:val="27"/>
        </w:rPr>
        <w:t xml:space="preserve">ТП – теплофикационный подогреватель; СН – сетевой насос; РП – регулятор подпитки; ПН – </w:t>
      </w:r>
      <w:proofErr w:type="spellStart"/>
      <w:r>
        <w:rPr>
          <w:i/>
          <w:iCs/>
          <w:color w:val="000000"/>
          <w:sz w:val="27"/>
          <w:szCs w:val="27"/>
        </w:rPr>
        <w:t>подпиточный</w:t>
      </w:r>
      <w:proofErr w:type="spellEnd"/>
      <w:r>
        <w:rPr>
          <w:i/>
          <w:iCs/>
          <w:color w:val="000000"/>
          <w:sz w:val="27"/>
          <w:szCs w:val="27"/>
        </w:rPr>
        <w:t xml:space="preserve"> насос; П</w:t>
      </w:r>
      <w:r>
        <w:rPr>
          <w:i/>
          <w:iCs/>
          <w:color w:val="000000"/>
          <w:sz w:val="27"/>
          <w:szCs w:val="27"/>
          <w:vertAlign w:val="subscript"/>
        </w:rPr>
        <w:t>СН</w:t>
      </w:r>
      <w:r>
        <w:rPr>
          <w:i/>
          <w:iCs/>
          <w:color w:val="000000"/>
          <w:sz w:val="27"/>
          <w:szCs w:val="27"/>
        </w:rPr>
        <w:t> – перемычка сетевого насоса; I, II, III – потребители теплоты.</w:t>
      </w:r>
    </w:p>
    <w:p w:rsidR="006C23FA" w:rsidRDefault="006C23FA" w:rsidP="006C23FA">
      <w:r>
        <w:rPr>
          <w:noProof/>
          <w:lang w:eastAsia="ru-RU"/>
        </w:rPr>
        <w:drawing>
          <wp:inline distT="0" distB="0" distL="0" distR="0" wp14:anchorId="46382179" wp14:editId="0EEFBDB3">
            <wp:extent cx="6840855" cy="305498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3054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640EC7D9" wp14:editId="121FE64E">
            <wp:extent cx="6840855" cy="2590165"/>
            <wp:effectExtent l="0" t="0" r="0" b="63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2590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C23FA" w:rsidRDefault="006C23FA" w:rsidP="006C23FA">
      <w:r>
        <w:rPr>
          <w:noProof/>
          <w:lang w:eastAsia="ru-RU"/>
        </w:rPr>
        <w:lastRenderedPageBreak/>
        <w:drawing>
          <wp:inline distT="0" distB="0" distL="0" distR="0" wp14:anchorId="7F357F89" wp14:editId="16DC0945">
            <wp:extent cx="6840855" cy="436372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4363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0D99CACB" wp14:editId="1D52C4F0">
            <wp:extent cx="6840855" cy="394779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3947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C23FA" w:rsidRDefault="006C23FA" w:rsidP="006C23FA">
      <w:r>
        <w:rPr>
          <w:noProof/>
          <w:lang w:eastAsia="ru-RU"/>
        </w:rPr>
        <w:drawing>
          <wp:inline distT="0" distB="0" distL="0" distR="0" wp14:anchorId="553464FE" wp14:editId="3A5F5B0D">
            <wp:extent cx="6840855" cy="3980815"/>
            <wp:effectExtent l="0" t="0" r="0" b="63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3980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C23FA" w:rsidRDefault="006C23FA" w:rsidP="006C23FA">
      <w:r>
        <w:rPr>
          <w:noProof/>
          <w:lang w:eastAsia="ru-RU"/>
        </w:rPr>
        <w:drawing>
          <wp:inline distT="0" distB="0" distL="0" distR="0" wp14:anchorId="60CD1FEB" wp14:editId="74B31036">
            <wp:extent cx="6840855" cy="455295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455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C23FA" w:rsidRDefault="006C23FA" w:rsidP="006C23FA">
      <w:r>
        <w:rPr>
          <w:noProof/>
          <w:lang w:eastAsia="ru-RU"/>
        </w:rPr>
        <w:lastRenderedPageBreak/>
        <w:drawing>
          <wp:inline distT="0" distB="0" distL="0" distR="0" wp14:anchorId="1898399E" wp14:editId="4C0D53F1">
            <wp:extent cx="6840855" cy="3921760"/>
            <wp:effectExtent l="0" t="0" r="0" b="254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3921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55C9EF8D" wp14:editId="74FF1BEB">
            <wp:extent cx="6840855" cy="3936365"/>
            <wp:effectExtent l="0" t="0" r="0" b="698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3936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46EED7EC" wp14:editId="77089684">
            <wp:extent cx="6840855" cy="3731260"/>
            <wp:effectExtent l="0" t="0" r="0" b="254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3731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11984433" wp14:editId="047CDE25">
            <wp:extent cx="6840855" cy="4194175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419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63AE0835" wp14:editId="5198CE97">
            <wp:extent cx="6840855" cy="3750945"/>
            <wp:effectExtent l="0" t="0" r="0" b="190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3750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53EB15A3" wp14:editId="79DD2617">
            <wp:extent cx="6840855" cy="4369435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4369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175F8CA1" wp14:editId="6B049272">
            <wp:extent cx="6840855" cy="4072890"/>
            <wp:effectExtent l="0" t="0" r="0" b="381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4072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55742EE7" wp14:editId="06380099">
            <wp:extent cx="6840855" cy="4340860"/>
            <wp:effectExtent l="0" t="0" r="0" b="254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4340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C23FA" w:rsidRDefault="006C23FA" w:rsidP="006C23FA">
      <w:r>
        <w:rPr>
          <w:noProof/>
          <w:lang w:eastAsia="ru-RU"/>
        </w:rPr>
        <w:lastRenderedPageBreak/>
        <w:drawing>
          <wp:inline distT="0" distB="0" distL="0" distR="0" wp14:anchorId="3BBA7965" wp14:editId="5028D664">
            <wp:extent cx="6840855" cy="4334510"/>
            <wp:effectExtent l="0" t="0" r="0" b="889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4334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3C06C7D5" wp14:editId="340A300F">
            <wp:extent cx="6840855" cy="2705735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2705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3B50ADD3" wp14:editId="4EDDA299">
            <wp:extent cx="6840855" cy="3164840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3164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C23FA" w:rsidRDefault="006C23FA" w:rsidP="006C23FA">
      <w:pPr>
        <w:pStyle w:val="2"/>
        <w:shd w:val="clear" w:color="auto" w:fill="FFFFFF"/>
        <w:spacing w:before="0" w:beforeAutospacing="0" w:after="0" w:afterAutospacing="0"/>
        <w:jc w:val="center"/>
        <w:rPr>
          <w:color w:val="3333FF"/>
          <w:sz w:val="24"/>
          <w:szCs w:val="24"/>
        </w:rPr>
      </w:pPr>
      <w:r>
        <w:rPr>
          <w:color w:val="3333FF"/>
          <w:sz w:val="24"/>
          <w:szCs w:val="24"/>
        </w:rPr>
        <w:t>4 Исходные данные</w:t>
      </w:r>
    </w:p>
    <w:p w:rsidR="006C23FA" w:rsidRDefault="006C23FA" w:rsidP="006C23FA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Задание на выполнение контрольной (курсовой) работы (проекта) по данной дисциплине выдается преподавателем индивидуально посредством запроса на его электронную почту.</w:t>
      </w:r>
    </w:p>
    <w:p w:rsidR="006C23FA" w:rsidRPr="006C23FA" w:rsidRDefault="006C23FA" w:rsidP="006C23FA">
      <w:pPr>
        <w:pStyle w:val="2"/>
        <w:shd w:val="clear" w:color="auto" w:fill="FFFFFF"/>
        <w:spacing w:before="0" w:beforeAutospacing="0" w:after="0" w:afterAutospacing="0"/>
        <w:jc w:val="center"/>
        <w:rPr>
          <w:color w:val="3333FF"/>
          <w:sz w:val="24"/>
          <w:szCs w:val="24"/>
        </w:rPr>
      </w:pPr>
      <w:r w:rsidRPr="006C23FA">
        <w:rPr>
          <w:color w:val="3333FF"/>
          <w:sz w:val="24"/>
          <w:szCs w:val="24"/>
        </w:rPr>
        <w:t>Литература</w:t>
      </w:r>
    </w:p>
    <w:p w:rsidR="006C23FA" w:rsidRPr="006C23FA" w:rsidRDefault="006C23FA" w:rsidP="006C23FA">
      <w:pPr>
        <w:pStyle w:val="3"/>
        <w:shd w:val="clear" w:color="auto" w:fill="FFFFFF"/>
        <w:spacing w:before="225" w:after="225"/>
        <w:jc w:val="center"/>
        <w:rPr>
          <w:rFonts w:ascii="Times New Roman" w:hAnsi="Times New Roman" w:cs="Times New Roman"/>
          <w:color w:val="000066"/>
        </w:rPr>
      </w:pPr>
      <w:r w:rsidRPr="006C23FA">
        <w:rPr>
          <w:rFonts w:ascii="Times New Roman" w:hAnsi="Times New Roman" w:cs="Times New Roman"/>
          <w:color w:val="000066"/>
        </w:rPr>
        <w:t>Основная литература</w:t>
      </w:r>
    </w:p>
    <w:p w:rsidR="006C23FA" w:rsidRPr="006C23FA" w:rsidRDefault="006C23FA" w:rsidP="006C23F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hAnsi="Times New Roman" w:cs="Times New Roman"/>
          <w:color w:val="000000"/>
          <w:sz w:val="27"/>
          <w:szCs w:val="27"/>
        </w:rPr>
      </w:pPr>
      <w:r w:rsidRPr="006C23FA">
        <w:rPr>
          <w:rFonts w:ascii="Times New Roman" w:hAnsi="Times New Roman" w:cs="Times New Roman"/>
          <w:color w:val="000000"/>
          <w:sz w:val="27"/>
          <w:szCs w:val="27"/>
        </w:rPr>
        <w:t xml:space="preserve">Сотникова О.А. Теплоснабжение: учеб. пособие для вузов / О.А. Сотникова, В.Н. </w:t>
      </w:r>
      <w:proofErr w:type="spellStart"/>
      <w:r w:rsidRPr="006C23FA">
        <w:rPr>
          <w:rFonts w:ascii="Times New Roman" w:hAnsi="Times New Roman" w:cs="Times New Roman"/>
          <w:color w:val="000000"/>
          <w:sz w:val="27"/>
          <w:szCs w:val="27"/>
        </w:rPr>
        <w:t>Мелькумов</w:t>
      </w:r>
      <w:proofErr w:type="spellEnd"/>
      <w:r w:rsidRPr="006C23FA">
        <w:rPr>
          <w:rFonts w:ascii="Times New Roman" w:hAnsi="Times New Roman" w:cs="Times New Roman"/>
          <w:color w:val="000000"/>
          <w:sz w:val="27"/>
          <w:szCs w:val="27"/>
        </w:rPr>
        <w:t xml:space="preserve">. – М.: АСВ, 2005. – 288с.: ил. – </w:t>
      </w:r>
      <w:proofErr w:type="spellStart"/>
      <w:r w:rsidRPr="006C23FA">
        <w:rPr>
          <w:rFonts w:ascii="Times New Roman" w:hAnsi="Times New Roman" w:cs="Times New Roman"/>
          <w:color w:val="000000"/>
          <w:sz w:val="27"/>
          <w:szCs w:val="27"/>
        </w:rPr>
        <w:t>Библиогр</w:t>
      </w:r>
      <w:proofErr w:type="spellEnd"/>
      <w:r w:rsidRPr="006C23FA">
        <w:rPr>
          <w:rFonts w:ascii="Times New Roman" w:hAnsi="Times New Roman" w:cs="Times New Roman"/>
          <w:color w:val="000000"/>
          <w:sz w:val="27"/>
          <w:szCs w:val="27"/>
        </w:rPr>
        <w:t>. в конце кн. – ISBN 5-93093-374-Х.</w:t>
      </w:r>
    </w:p>
    <w:p w:rsidR="006C23FA" w:rsidRPr="006C23FA" w:rsidRDefault="006C23FA" w:rsidP="006C23F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hAnsi="Times New Roman" w:cs="Times New Roman"/>
          <w:color w:val="000000"/>
          <w:sz w:val="27"/>
          <w:szCs w:val="27"/>
        </w:rPr>
      </w:pPr>
      <w:r w:rsidRPr="006C23FA">
        <w:rPr>
          <w:rFonts w:ascii="Times New Roman" w:hAnsi="Times New Roman" w:cs="Times New Roman"/>
          <w:color w:val="000000"/>
          <w:sz w:val="27"/>
          <w:szCs w:val="27"/>
        </w:rPr>
        <w:t xml:space="preserve">Крупнов Б.А. Отопительные приборы, производимые в России и ближнем зарубежье: </w:t>
      </w:r>
      <w:proofErr w:type="spellStart"/>
      <w:proofErr w:type="gramStart"/>
      <w:r w:rsidRPr="006C23FA">
        <w:rPr>
          <w:rFonts w:ascii="Times New Roman" w:hAnsi="Times New Roman" w:cs="Times New Roman"/>
          <w:color w:val="000000"/>
          <w:sz w:val="27"/>
          <w:szCs w:val="27"/>
        </w:rPr>
        <w:t>учеб.пособие</w:t>
      </w:r>
      <w:proofErr w:type="spellEnd"/>
      <w:proofErr w:type="gramEnd"/>
      <w:r w:rsidRPr="006C23FA">
        <w:rPr>
          <w:rFonts w:ascii="Times New Roman" w:hAnsi="Times New Roman" w:cs="Times New Roman"/>
          <w:color w:val="000000"/>
          <w:sz w:val="27"/>
          <w:szCs w:val="27"/>
        </w:rPr>
        <w:t xml:space="preserve"> для вузов / </w:t>
      </w:r>
      <w:proofErr w:type="spellStart"/>
      <w:r w:rsidRPr="006C23FA">
        <w:rPr>
          <w:rFonts w:ascii="Times New Roman" w:hAnsi="Times New Roman" w:cs="Times New Roman"/>
          <w:color w:val="000000"/>
          <w:sz w:val="27"/>
          <w:szCs w:val="27"/>
        </w:rPr>
        <w:t>Б.А.Крупнов</w:t>
      </w:r>
      <w:proofErr w:type="spellEnd"/>
      <w:r w:rsidRPr="006C23FA">
        <w:rPr>
          <w:rFonts w:ascii="Times New Roman" w:hAnsi="Times New Roman" w:cs="Times New Roman"/>
          <w:color w:val="000000"/>
          <w:sz w:val="27"/>
          <w:szCs w:val="27"/>
        </w:rPr>
        <w:t xml:space="preserve">. – 2-е изд., доп. и </w:t>
      </w:r>
      <w:proofErr w:type="spellStart"/>
      <w:r w:rsidRPr="006C23FA">
        <w:rPr>
          <w:rFonts w:ascii="Times New Roman" w:hAnsi="Times New Roman" w:cs="Times New Roman"/>
          <w:color w:val="000000"/>
          <w:sz w:val="27"/>
          <w:szCs w:val="27"/>
        </w:rPr>
        <w:t>перераб</w:t>
      </w:r>
      <w:proofErr w:type="spellEnd"/>
      <w:r w:rsidRPr="006C23FA">
        <w:rPr>
          <w:rFonts w:ascii="Times New Roman" w:hAnsi="Times New Roman" w:cs="Times New Roman"/>
          <w:color w:val="000000"/>
          <w:sz w:val="27"/>
          <w:szCs w:val="27"/>
        </w:rPr>
        <w:t xml:space="preserve">. – М.: АСВ, 2005. – 96с.: ил. – </w:t>
      </w:r>
      <w:proofErr w:type="spellStart"/>
      <w:r w:rsidRPr="006C23FA">
        <w:rPr>
          <w:rFonts w:ascii="Times New Roman" w:hAnsi="Times New Roman" w:cs="Times New Roman"/>
          <w:color w:val="000000"/>
          <w:sz w:val="27"/>
          <w:szCs w:val="27"/>
        </w:rPr>
        <w:t>Библиогр</w:t>
      </w:r>
      <w:proofErr w:type="spellEnd"/>
      <w:r w:rsidRPr="006C23FA">
        <w:rPr>
          <w:rFonts w:ascii="Times New Roman" w:hAnsi="Times New Roman" w:cs="Times New Roman"/>
          <w:color w:val="000000"/>
          <w:sz w:val="27"/>
          <w:szCs w:val="27"/>
        </w:rPr>
        <w:t>. в конце кн. – ISBN 5-93093-127-5.</w:t>
      </w:r>
    </w:p>
    <w:p w:rsidR="006C23FA" w:rsidRPr="006C23FA" w:rsidRDefault="006C23FA" w:rsidP="006C23F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hAnsi="Times New Roman" w:cs="Times New Roman"/>
          <w:color w:val="000000"/>
          <w:sz w:val="27"/>
          <w:szCs w:val="27"/>
        </w:rPr>
      </w:pPr>
      <w:r w:rsidRPr="006C23FA">
        <w:rPr>
          <w:rFonts w:ascii="Times New Roman" w:hAnsi="Times New Roman" w:cs="Times New Roman"/>
          <w:color w:val="000000"/>
          <w:sz w:val="27"/>
          <w:szCs w:val="27"/>
        </w:rPr>
        <w:t xml:space="preserve">Соколова С.С. Управление температурным режимом производственных зданий: монография / С.С. Соколова, В.А. Соколов; </w:t>
      </w:r>
      <w:proofErr w:type="spellStart"/>
      <w:r w:rsidRPr="006C23FA">
        <w:rPr>
          <w:rFonts w:ascii="Times New Roman" w:hAnsi="Times New Roman" w:cs="Times New Roman"/>
          <w:color w:val="000000"/>
          <w:sz w:val="27"/>
          <w:szCs w:val="27"/>
        </w:rPr>
        <w:t>ТулГУ</w:t>
      </w:r>
      <w:proofErr w:type="spellEnd"/>
      <w:r w:rsidRPr="006C23FA">
        <w:rPr>
          <w:rFonts w:ascii="Times New Roman" w:hAnsi="Times New Roman" w:cs="Times New Roman"/>
          <w:color w:val="000000"/>
          <w:sz w:val="27"/>
          <w:szCs w:val="27"/>
        </w:rPr>
        <w:t xml:space="preserve">. – Тула: Изд-во </w:t>
      </w:r>
      <w:proofErr w:type="spellStart"/>
      <w:r w:rsidRPr="006C23FA">
        <w:rPr>
          <w:rFonts w:ascii="Times New Roman" w:hAnsi="Times New Roman" w:cs="Times New Roman"/>
          <w:color w:val="000000"/>
          <w:sz w:val="27"/>
          <w:szCs w:val="27"/>
        </w:rPr>
        <w:t>ТулГУ</w:t>
      </w:r>
      <w:proofErr w:type="spellEnd"/>
      <w:r w:rsidRPr="006C23FA">
        <w:rPr>
          <w:rFonts w:ascii="Times New Roman" w:hAnsi="Times New Roman" w:cs="Times New Roman"/>
          <w:color w:val="000000"/>
          <w:sz w:val="27"/>
          <w:szCs w:val="27"/>
        </w:rPr>
        <w:t xml:space="preserve">, 2010. – 158 с.: ил. – К 80-летию Тульского государственного университета. – в дар от Изд-ва </w:t>
      </w:r>
      <w:proofErr w:type="spellStart"/>
      <w:r w:rsidRPr="006C23FA">
        <w:rPr>
          <w:rFonts w:ascii="Times New Roman" w:hAnsi="Times New Roman" w:cs="Times New Roman"/>
          <w:color w:val="000000"/>
          <w:sz w:val="27"/>
          <w:szCs w:val="27"/>
        </w:rPr>
        <w:t>ТулГУ</w:t>
      </w:r>
      <w:proofErr w:type="spellEnd"/>
      <w:r w:rsidRPr="006C23FA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6C23FA">
        <w:rPr>
          <w:rFonts w:ascii="Times New Roman" w:hAnsi="Times New Roman" w:cs="Times New Roman"/>
          <w:color w:val="000000"/>
          <w:sz w:val="27"/>
          <w:szCs w:val="27"/>
        </w:rPr>
        <w:t>ТулГУ</w:t>
      </w:r>
      <w:proofErr w:type="spellEnd"/>
      <w:r w:rsidRPr="006C23FA">
        <w:rPr>
          <w:rFonts w:ascii="Times New Roman" w:hAnsi="Times New Roman" w:cs="Times New Roman"/>
          <w:color w:val="000000"/>
          <w:sz w:val="27"/>
          <w:szCs w:val="27"/>
        </w:rPr>
        <w:t xml:space="preserve">: 1320463. – </w:t>
      </w:r>
      <w:proofErr w:type="spellStart"/>
      <w:r w:rsidRPr="006C23FA">
        <w:rPr>
          <w:rFonts w:ascii="Times New Roman" w:hAnsi="Times New Roman" w:cs="Times New Roman"/>
          <w:color w:val="000000"/>
          <w:sz w:val="27"/>
          <w:szCs w:val="27"/>
        </w:rPr>
        <w:t>Библиогр</w:t>
      </w:r>
      <w:proofErr w:type="spellEnd"/>
      <w:r w:rsidRPr="006C23FA">
        <w:rPr>
          <w:rFonts w:ascii="Times New Roman" w:hAnsi="Times New Roman" w:cs="Times New Roman"/>
          <w:color w:val="000000"/>
          <w:sz w:val="27"/>
          <w:szCs w:val="27"/>
        </w:rPr>
        <w:t>.: с. 144-157. – ISBN 978-5-7679-1669-6.</w:t>
      </w:r>
    </w:p>
    <w:p w:rsidR="006C23FA" w:rsidRPr="006C23FA" w:rsidRDefault="006C23FA" w:rsidP="006C23FA">
      <w:pPr>
        <w:pStyle w:val="3"/>
        <w:shd w:val="clear" w:color="auto" w:fill="FFFFFF"/>
        <w:spacing w:before="225" w:after="225"/>
        <w:jc w:val="center"/>
        <w:rPr>
          <w:rFonts w:ascii="Times New Roman" w:hAnsi="Times New Roman" w:cs="Times New Roman"/>
          <w:color w:val="000066"/>
        </w:rPr>
      </w:pPr>
      <w:bookmarkStart w:id="5" w:name="_GoBack"/>
      <w:bookmarkEnd w:id="5"/>
      <w:r w:rsidRPr="006C23FA">
        <w:rPr>
          <w:rFonts w:ascii="Times New Roman" w:hAnsi="Times New Roman" w:cs="Times New Roman"/>
          <w:color w:val="000066"/>
        </w:rPr>
        <w:t>Дополнительная литература</w:t>
      </w:r>
    </w:p>
    <w:p w:rsidR="006C23FA" w:rsidRPr="006C23FA" w:rsidRDefault="006C23FA" w:rsidP="006C23F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hAnsi="Times New Roman" w:cs="Times New Roman"/>
          <w:color w:val="000000"/>
          <w:sz w:val="27"/>
          <w:szCs w:val="27"/>
        </w:rPr>
      </w:pPr>
      <w:proofErr w:type="spellStart"/>
      <w:r w:rsidRPr="006C23FA">
        <w:rPr>
          <w:rFonts w:ascii="Times New Roman" w:hAnsi="Times New Roman" w:cs="Times New Roman"/>
          <w:color w:val="000000"/>
          <w:sz w:val="27"/>
          <w:szCs w:val="27"/>
        </w:rPr>
        <w:t>Аханов</w:t>
      </w:r>
      <w:proofErr w:type="spellEnd"/>
      <w:r w:rsidRPr="006C23FA">
        <w:rPr>
          <w:rFonts w:ascii="Times New Roman" w:hAnsi="Times New Roman" w:cs="Times New Roman"/>
          <w:color w:val="000000"/>
          <w:sz w:val="27"/>
          <w:szCs w:val="27"/>
        </w:rPr>
        <w:t xml:space="preserve"> В.С. Справочник строителя / В.С. </w:t>
      </w:r>
      <w:proofErr w:type="spellStart"/>
      <w:r w:rsidRPr="006C23FA">
        <w:rPr>
          <w:rFonts w:ascii="Times New Roman" w:hAnsi="Times New Roman" w:cs="Times New Roman"/>
          <w:color w:val="000000"/>
          <w:sz w:val="27"/>
          <w:szCs w:val="27"/>
        </w:rPr>
        <w:t>Аханов</w:t>
      </w:r>
      <w:proofErr w:type="spellEnd"/>
      <w:r w:rsidRPr="006C23FA">
        <w:rPr>
          <w:rFonts w:ascii="Times New Roman" w:hAnsi="Times New Roman" w:cs="Times New Roman"/>
          <w:color w:val="000000"/>
          <w:sz w:val="27"/>
          <w:szCs w:val="27"/>
        </w:rPr>
        <w:t xml:space="preserve">, Г.А. Ткаченко. – 9-е изд. – Ростов-н/Д: Феникс, 2006. – 480с.: ил. – (Строительство). – </w:t>
      </w:r>
      <w:proofErr w:type="spellStart"/>
      <w:r w:rsidRPr="006C23FA">
        <w:rPr>
          <w:rFonts w:ascii="Times New Roman" w:hAnsi="Times New Roman" w:cs="Times New Roman"/>
          <w:color w:val="000000"/>
          <w:sz w:val="27"/>
          <w:szCs w:val="27"/>
        </w:rPr>
        <w:t>Библиогр</w:t>
      </w:r>
      <w:proofErr w:type="spellEnd"/>
      <w:r w:rsidRPr="006C23FA">
        <w:rPr>
          <w:rFonts w:ascii="Times New Roman" w:hAnsi="Times New Roman" w:cs="Times New Roman"/>
          <w:color w:val="000000"/>
          <w:sz w:val="27"/>
          <w:szCs w:val="27"/>
        </w:rPr>
        <w:t>. в конце кн. – ISBN 5-222-09245-3 /в пер.</w:t>
      </w:r>
    </w:p>
    <w:p w:rsidR="006C23FA" w:rsidRPr="006C23FA" w:rsidRDefault="006C23FA" w:rsidP="006C23F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hAnsi="Times New Roman" w:cs="Times New Roman"/>
          <w:color w:val="000000"/>
          <w:sz w:val="27"/>
          <w:szCs w:val="27"/>
        </w:rPr>
      </w:pPr>
      <w:r w:rsidRPr="006C23FA">
        <w:rPr>
          <w:rFonts w:ascii="Times New Roman" w:hAnsi="Times New Roman" w:cs="Times New Roman"/>
          <w:color w:val="000000"/>
          <w:sz w:val="27"/>
          <w:szCs w:val="27"/>
        </w:rPr>
        <w:t xml:space="preserve">Свистунов В.М. Отопление, вентиляция и кондиционирование воздуха объектов агропромышленного комплекса и жилищно-коммунального хозяйства: учебник для вузов / В.М. Свистунов, Н.К. </w:t>
      </w:r>
      <w:proofErr w:type="spellStart"/>
      <w:r w:rsidRPr="006C23FA">
        <w:rPr>
          <w:rFonts w:ascii="Times New Roman" w:hAnsi="Times New Roman" w:cs="Times New Roman"/>
          <w:color w:val="000000"/>
          <w:sz w:val="27"/>
          <w:szCs w:val="27"/>
        </w:rPr>
        <w:t>Пушняков</w:t>
      </w:r>
      <w:proofErr w:type="spellEnd"/>
      <w:r w:rsidRPr="006C23FA">
        <w:rPr>
          <w:rFonts w:ascii="Times New Roman" w:hAnsi="Times New Roman" w:cs="Times New Roman"/>
          <w:color w:val="000000"/>
          <w:sz w:val="27"/>
          <w:szCs w:val="27"/>
        </w:rPr>
        <w:t xml:space="preserve">. – 2-е изд. – СПб.: Политехника, 2007. – 423с.: ил. – (Учебник для вузов). – </w:t>
      </w:r>
      <w:proofErr w:type="spellStart"/>
      <w:r w:rsidRPr="006C23FA">
        <w:rPr>
          <w:rFonts w:ascii="Times New Roman" w:hAnsi="Times New Roman" w:cs="Times New Roman"/>
          <w:color w:val="000000"/>
          <w:sz w:val="27"/>
          <w:szCs w:val="27"/>
        </w:rPr>
        <w:t>Библиогр.в</w:t>
      </w:r>
      <w:proofErr w:type="spellEnd"/>
      <w:r w:rsidRPr="006C23FA">
        <w:rPr>
          <w:rFonts w:ascii="Times New Roman" w:hAnsi="Times New Roman" w:cs="Times New Roman"/>
          <w:color w:val="000000"/>
          <w:sz w:val="27"/>
          <w:szCs w:val="27"/>
        </w:rPr>
        <w:t xml:space="preserve"> конце кн. – ISBN 5-7325-0349-8 /в пер.</w:t>
      </w:r>
    </w:p>
    <w:p w:rsidR="006C23FA" w:rsidRPr="006C23FA" w:rsidRDefault="006C23FA" w:rsidP="006C23F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hAnsi="Times New Roman" w:cs="Times New Roman"/>
          <w:color w:val="000000"/>
          <w:sz w:val="27"/>
          <w:szCs w:val="27"/>
        </w:rPr>
      </w:pPr>
      <w:proofErr w:type="spellStart"/>
      <w:r w:rsidRPr="006C23FA">
        <w:rPr>
          <w:rFonts w:ascii="Times New Roman" w:hAnsi="Times New Roman" w:cs="Times New Roman"/>
          <w:color w:val="000000"/>
          <w:sz w:val="27"/>
          <w:szCs w:val="27"/>
        </w:rPr>
        <w:t>Тиатор</w:t>
      </w:r>
      <w:proofErr w:type="spellEnd"/>
      <w:r w:rsidRPr="006C23FA">
        <w:rPr>
          <w:rFonts w:ascii="Times New Roman" w:hAnsi="Times New Roman" w:cs="Times New Roman"/>
          <w:color w:val="000000"/>
          <w:sz w:val="27"/>
          <w:szCs w:val="27"/>
        </w:rPr>
        <w:t xml:space="preserve"> И. Отопительные системы / И. </w:t>
      </w:r>
      <w:proofErr w:type="spellStart"/>
      <w:r w:rsidRPr="006C23FA">
        <w:rPr>
          <w:rFonts w:ascii="Times New Roman" w:hAnsi="Times New Roman" w:cs="Times New Roman"/>
          <w:color w:val="000000"/>
          <w:sz w:val="27"/>
          <w:szCs w:val="27"/>
        </w:rPr>
        <w:t>Тиатор</w:t>
      </w:r>
      <w:proofErr w:type="spellEnd"/>
      <w:r w:rsidRPr="006C23FA">
        <w:rPr>
          <w:rFonts w:ascii="Times New Roman" w:hAnsi="Times New Roman" w:cs="Times New Roman"/>
          <w:color w:val="000000"/>
          <w:sz w:val="27"/>
          <w:szCs w:val="27"/>
        </w:rPr>
        <w:t xml:space="preserve">; пер. с нем. Т.Н. </w:t>
      </w:r>
      <w:proofErr w:type="spellStart"/>
      <w:r w:rsidRPr="006C23FA">
        <w:rPr>
          <w:rFonts w:ascii="Times New Roman" w:hAnsi="Times New Roman" w:cs="Times New Roman"/>
          <w:color w:val="000000"/>
          <w:sz w:val="27"/>
          <w:szCs w:val="27"/>
        </w:rPr>
        <w:t>Зазаевой</w:t>
      </w:r>
      <w:proofErr w:type="spellEnd"/>
      <w:r w:rsidRPr="006C23FA">
        <w:rPr>
          <w:rFonts w:ascii="Times New Roman" w:hAnsi="Times New Roman" w:cs="Times New Roman"/>
          <w:color w:val="000000"/>
          <w:sz w:val="27"/>
          <w:szCs w:val="27"/>
        </w:rPr>
        <w:t xml:space="preserve">; под ред. Н.Д. Маловой. – М.: </w:t>
      </w:r>
      <w:proofErr w:type="spellStart"/>
      <w:r w:rsidRPr="006C23FA">
        <w:rPr>
          <w:rFonts w:ascii="Times New Roman" w:hAnsi="Times New Roman" w:cs="Times New Roman"/>
          <w:color w:val="000000"/>
          <w:sz w:val="27"/>
          <w:szCs w:val="27"/>
        </w:rPr>
        <w:t>Техносфера</w:t>
      </w:r>
      <w:proofErr w:type="spellEnd"/>
      <w:r w:rsidRPr="006C23FA">
        <w:rPr>
          <w:rFonts w:ascii="Times New Roman" w:hAnsi="Times New Roman" w:cs="Times New Roman"/>
          <w:color w:val="000000"/>
          <w:sz w:val="27"/>
          <w:szCs w:val="27"/>
        </w:rPr>
        <w:t xml:space="preserve">: </w:t>
      </w:r>
      <w:proofErr w:type="spellStart"/>
      <w:proofErr w:type="gramStart"/>
      <w:r w:rsidRPr="006C23FA">
        <w:rPr>
          <w:rFonts w:ascii="Times New Roman" w:hAnsi="Times New Roman" w:cs="Times New Roman"/>
          <w:color w:val="000000"/>
          <w:sz w:val="27"/>
          <w:szCs w:val="27"/>
        </w:rPr>
        <w:t>Евроклимат</w:t>
      </w:r>
      <w:proofErr w:type="spellEnd"/>
      <w:r w:rsidRPr="006C23FA">
        <w:rPr>
          <w:rFonts w:ascii="Times New Roman" w:hAnsi="Times New Roman" w:cs="Times New Roman"/>
          <w:color w:val="000000"/>
          <w:sz w:val="27"/>
          <w:szCs w:val="27"/>
        </w:rPr>
        <w:t xml:space="preserve"> :</w:t>
      </w:r>
      <w:proofErr w:type="gramEnd"/>
      <w:r w:rsidRPr="006C23FA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6C23FA">
        <w:rPr>
          <w:rFonts w:ascii="Times New Roman" w:hAnsi="Times New Roman" w:cs="Times New Roman"/>
          <w:color w:val="000000"/>
          <w:sz w:val="27"/>
          <w:szCs w:val="27"/>
        </w:rPr>
        <w:t>Евроклимат</w:t>
      </w:r>
      <w:proofErr w:type="spellEnd"/>
      <w:r w:rsidRPr="006C23FA">
        <w:rPr>
          <w:rFonts w:ascii="Times New Roman" w:hAnsi="Times New Roman" w:cs="Times New Roman"/>
          <w:color w:val="000000"/>
          <w:sz w:val="27"/>
          <w:szCs w:val="27"/>
        </w:rPr>
        <w:t xml:space="preserve">, 2006. – 272 с.: ил. – (Библиотека </w:t>
      </w:r>
      <w:proofErr w:type="spellStart"/>
      <w:r w:rsidRPr="006C23FA">
        <w:rPr>
          <w:rFonts w:ascii="Times New Roman" w:hAnsi="Times New Roman" w:cs="Times New Roman"/>
          <w:color w:val="000000"/>
          <w:sz w:val="27"/>
          <w:szCs w:val="27"/>
        </w:rPr>
        <w:t>климатехника</w:t>
      </w:r>
      <w:proofErr w:type="spellEnd"/>
      <w:r w:rsidRPr="006C23FA">
        <w:rPr>
          <w:rFonts w:ascii="Times New Roman" w:hAnsi="Times New Roman" w:cs="Times New Roman"/>
          <w:color w:val="000000"/>
          <w:sz w:val="27"/>
          <w:szCs w:val="27"/>
        </w:rPr>
        <w:t xml:space="preserve">). – </w:t>
      </w:r>
      <w:proofErr w:type="spellStart"/>
      <w:r w:rsidRPr="006C23FA">
        <w:rPr>
          <w:rFonts w:ascii="Times New Roman" w:hAnsi="Times New Roman" w:cs="Times New Roman"/>
          <w:color w:val="000000"/>
          <w:sz w:val="27"/>
          <w:szCs w:val="27"/>
        </w:rPr>
        <w:t>Библиогр</w:t>
      </w:r>
      <w:proofErr w:type="spellEnd"/>
      <w:r w:rsidRPr="006C23FA">
        <w:rPr>
          <w:rFonts w:ascii="Times New Roman" w:hAnsi="Times New Roman" w:cs="Times New Roman"/>
          <w:color w:val="000000"/>
          <w:sz w:val="27"/>
          <w:szCs w:val="27"/>
        </w:rPr>
        <w:t xml:space="preserve">. в конце кн. – </w:t>
      </w:r>
      <w:proofErr w:type="spellStart"/>
      <w:r w:rsidRPr="006C23FA">
        <w:rPr>
          <w:rFonts w:ascii="Times New Roman" w:hAnsi="Times New Roman" w:cs="Times New Roman"/>
          <w:color w:val="000000"/>
          <w:sz w:val="27"/>
          <w:szCs w:val="27"/>
        </w:rPr>
        <w:t>Предм</w:t>
      </w:r>
      <w:proofErr w:type="spellEnd"/>
      <w:r w:rsidRPr="006C23FA">
        <w:rPr>
          <w:rFonts w:ascii="Times New Roman" w:hAnsi="Times New Roman" w:cs="Times New Roman"/>
          <w:color w:val="000000"/>
          <w:sz w:val="27"/>
          <w:szCs w:val="27"/>
        </w:rPr>
        <w:t>. указ.: с. 270-</w:t>
      </w:r>
      <w:proofErr w:type="gramStart"/>
      <w:r w:rsidRPr="006C23FA">
        <w:rPr>
          <w:rFonts w:ascii="Times New Roman" w:hAnsi="Times New Roman" w:cs="Times New Roman"/>
          <w:color w:val="000000"/>
          <w:sz w:val="27"/>
          <w:szCs w:val="27"/>
        </w:rPr>
        <w:t>271 .</w:t>
      </w:r>
      <w:proofErr w:type="gramEnd"/>
      <w:r w:rsidRPr="006C23FA">
        <w:rPr>
          <w:rFonts w:ascii="Times New Roman" w:hAnsi="Times New Roman" w:cs="Times New Roman"/>
          <w:color w:val="000000"/>
          <w:sz w:val="27"/>
          <w:szCs w:val="27"/>
        </w:rPr>
        <w:t>– ISBN 5-94836-078-4 (в пер.).</w:t>
      </w:r>
    </w:p>
    <w:p w:rsidR="006C23FA" w:rsidRPr="006C23FA" w:rsidRDefault="006C23FA" w:rsidP="006C23F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hAnsi="Times New Roman" w:cs="Times New Roman"/>
          <w:color w:val="000000"/>
          <w:sz w:val="27"/>
          <w:szCs w:val="27"/>
        </w:rPr>
      </w:pPr>
      <w:proofErr w:type="spellStart"/>
      <w:r w:rsidRPr="006C23FA">
        <w:rPr>
          <w:rFonts w:ascii="Times New Roman" w:hAnsi="Times New Roman" w:cs="Times New Roman"/>
          <w:color w:val="000000"/>
          <w:sz w:val="27"/>
          <w:szCs w:val="27"/>
        </w:rPr>
        <w:t>Бухаркин</w:t>
      </w:r>
      <w:proofErr w:type="spellEnd"/>
      <w:r w:rsidRPr="006C23FA">
        <w:rPr>
          <w:rFonts w:ascii="Times New Roman" w:hAnsi="Times New Roman" w:cs="Times New Roman"/>
          <w:color w:val="000000"/>
          <w:sz w:val="27"/>
          <w:szCs w:val="27"/>
        </w:rPr>
        <w:t xml:space="preserve"> Е.Н. Инженерные сети: Оборудование зданий и сооружений: Учебник для вузов / Е.Н. </w:t>
      </w:r>
      <w:proofErr w:type="spellStart"/>
      <w:r w:rsidRPr="006C23FA">
        <w:rPr>
          <w:rFonts w:ascii="Times New Roman" w:hAnsi="Times New Roman" w:cs="Times New Roman"/>
          <w:color w:val="000000"/>
          <w:sz w:val="27"/>
          <w:szCs w:val="27"/>
        </w:rPr>
        <w:t>Бухаркин</w:t>
      </w:r>
      <w:proofErr w:type="spellEnd"/>
      <w:r w:rsidRPr="006C23FA">
        <w:rPr>
          <w:rFonts w:ascii="Times New Roman" w:hAnsi="Times New Roman" w:cs="Times New Roman"/>
          <w:color w:val="000000"/>
          <w:sz w:val="27"/>
          <w:szCs w:val="27"/>
        </w:rPr>
        <w:t xml:space="preserve">, В.В. </w:t>
      </w:r>
      <w:proofErr w:type="spellStart"/>
      <w:r w:rsidRPr="006C23FA">
        <w:rPr>
          <w:rFonts w:ascii="Times New Roman" w:hAnsi="Times New Roman" w:cs="Times New Roman"/>
          <w:color w:val="000000"/>
          <w:sz w:val="27"/>
          <w:szCs w:val="27"/>
        </w:rPr>
        <w:t>Кушнирюк</w:t>
      </w:r>
      <w:proofErr w:type="spellEnd"/>
      <w:r w:rsidRPr="006C23FA">
        <w:rPr>
          <w:rFonts w:ascii="Times New Roman" w:hAnsi="Times New Roman" w:cs="Times New Roman"/>
          <w:color w:val="000000"/>
          <w:sz w:val="27"/>
          <w:szCs w:val="27"/>
        </w:rPr>
        <w:t xml:space="preserve">, В.М. Овсянников и др.; Под. ред. Ю.П. Соснина. – М.: </w:t>
      </w:r>
      <w:proofErr w:type="spellStart"/>
      <w:r w:rsidRPr="006C23FA">
        <w:rPr>
          <w:rFonts w:ascii="Times New Roman" w:hAnsi="Times New Roman" w:cs="Times New Roman"/>
          <w:color w:val="000000"/>
          <w:sz w:val="27"/>
          <w:szCs w:val="27"/>
        </w:rPr>
        <w:t>Высш</w:t>
      </w:r>
      <w:proofErr w:type="spellEnd"/>
      <w:r w:rsidRPr="006C23FA">
        <w:rPr>
          <w:rFonts w:ascii="Times New Roman" w:hAnsi="Times New Roman" w:cs="Times New Roman"/>
          <w:color w:val="000000"/>
          <w:sz w:val="27"/>
          <w:szCs w:val="27"/>
        </w:rPr>
        <w:t xml:space="preserve">. </w:t>
      </w:r>
      <w:proofErr w:type="spellStart"/>
      <w:r w:rsidRPr="006C23FA">
        <w:rPr>
          <w:rFonts w:ascii="Times New Roman" w:hAnsi="Times New Roman" w:cs="Times New Roman"/>
          <w:color w:val="000000"/>
          <w:sz w:val="27"/>
          <w:szCs w:val="27"/>
        </w:rPr>
        <w:t>шк</w:t>
      </w:r>
      <w:proofErr w:type="spellEnd"/>
      <w:r w:rsidRPr="006C23FA">
        <w:rPr>
          <w:rFonts w:ascii="Times New Roman" w:hAnsi="Times New Roman" w:cs="Times New Roman"/>
          <w:color w:val="000000"/>
          <w:sz w:val="27"/>
          <w:szCs w:val="27"/>
        </w:rPr>
        <w:t xml:space="preserve">., 2001. – 415с.: ил. – </w:t>
      </w:r>
      <w:proofErr w:type="spellStart"/>
      <w:r w:rsidRPr="006C23FA">
        <w:rPr>
          <w:rFonts w:ascii="Times New Roman" w:hAnsi="Times New Roman" w:cs="Times New Roman"/>
          <w:color w:val="000000"/>
          <w:sz w:val="27"/>
          <w:szCs w:val="27"/>
        </w:rPr>
        <w:t>Библиогр</w:t>
      </w:r>
      <w:proofErr w:type="spellEnd"/>
      <w:r w:rsidRPr="006C23FA">
        <w:rPr>
          <w:rFonts w:ascii="Times New Roman" w:hAnsi="Times New Roman" w:cs="Times New Roman"/>
          <w:color w:val="000000"/>
          <w:sz w:val="27"/>
          <w:szCs w:val="27"/>
        </w:rPr>
        <w:t>. в конце кн. – ISBN 5-06-003827-0: / В пер.</w:t>
      </w:r>
    </w:p>
    <w:p w:rsidR="006C23FA" w:rsidRPr="006C23FA" w:rsidRDefault="006C23FA" w:rsidP="006C23FA"/>
    <w:sectPr w:rsidR="006C23FA" w:rsidRPr="006C23FA" w:rsidSect="006C23FA">
      <w:pgSz w:w="11907" w:h="31185" w:code="9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4D4A1D"/>
    <w:multiLevelType w:val="multilevel"/>
    <w:tmpl w:val="F81865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67E00C7"/>
    <w:multiLevelType w:val="multilevel"/>
    <w:tmpl w:val="0CB600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4F33F4B"/>
    <w:multiLevelType w:val="multilevel"/>
    <w:tmpl w:val="BED44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5D76BD6"/>
    <w:multiLevelType w:val="multilevel"/>
    <w:tmpl w:val="63B20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1C50B4B"/>
    <w:multiLevelType w:val="multilevel"/>
    <w:tmpl w:val="D92E5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6920282"/>
    <w:multiLevelType w:val="multilevel"/>
    <w:tmpl w:val="B90A6C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4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3DE7"/>
    <w:rsid w:val="006C23FA"/>
    <w:rsid w:val="00904EC8"/>
    <w:rsid w:val="00AA3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774383"/>
  <w15:chartTrackingRefBased/>
  <w15:docId w15:val="{D0EAEACA-C8C5-46F1-B0D1-CE1C0CFA6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C23F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6C23F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C23F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C23F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C23F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otstup">
    <w:name w:val="otstup"/>
    <w:basedOn w:val="a"/>
    <w:rsid w:val="006C23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C23F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a3">
    <w:name w:val="Hyperlink"/>
    <w:basedOn w:val="a0"/>
    <w:uiPriority w:val="99"/>
    <w:semiHidden/>
    <w:unhideWhenUsed/>
    <w:rsid w:val="006C23FA"/>
    <w:rPr>
      <w:color w:val="0000FF"/>
      <w:u w:val="single"/>
    </w:rPr>
  </w:style>
  <w:style w:type="character" w:customStyle="1" w:styleId="style1">
    <w:name w:val="style1"/>
    <w:basedOn w:val="a0"/>
    <w:rsid w:val="006C23FA"/>
  </w:style>
  <w:style w:type="paragraph" w:styleId="a4">
    <w:name w:val="Normal (Web)"/>
    <w:basedOn w:val="a"/>
    <w:uiPriority w:val="99"/>
    <w:semiHidden/>
    <w:unhideWhenUsed/>
    <w:rsid w:val="006C23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753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3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07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5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8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4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6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4.png"/><Relationship Id="rId7" Type="http://schemas.openxmlformats.org/officeDocument/2006/relationships/hyperlink" Target="https://i-institute.tsu.tula.ru/moodle/pluginfile.php/16070/mod_resource/content/0/exploitation/kora/kora2/kora_2_1.html" TargetMode="Externa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numbering" Target="numbering.xml"/><Relationship Id="rId6" Type="http://schemas.openxmlformats.org/officeDocument/2006/relationships/hyperlink" Target="https://i-institute.tsu.tula.ru/moodle/pluginfile.php/16070/mod_resource/content/0/exploitation/kora/kora2/kora_2_1.html" TargetMode="Externa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5" Type="http://schemas.openxmlformats.org/officeDocument/2006/relationships/hyperlink" Target="https://i-institute.tsu.tula.ru/moodle/pluginfile.php/16070/mod_resource/content/0/exploitation/kora/kora2/kora_2_1.html" TargetMode="Externa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1538</Words>
  <Characters>8773</Characters>
  <Application>Microsoft Office Word</Application>
  <DocSecurity>0</DocSecurity>
  <Lines>73</Lines>
  <Paragraphs>20</Paragraphs>
  <ScaleCrop>false</ScaleCrop>
  <Company>Reanimator Extreme Edition</Company>
  <LinksUpToDate>false</LinksUpToDate>
  <CharactersWithSpaces>10291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2022-01-27T09:55:00Z</dcterms:created>
  <dcterms:modified xsi:type="dcterms:W3CDTF">2022-01-27T10:06:00Z</dcterms:modified>
</cp:coreProperties>
</file>