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Министерство образования и науки Российской Федерации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Федеральное государственное бюджетное образовательное учреждение </w:t>
      </w:r>
      <w:r>
        <w:rPr>
          <w:rFonts w:ascii="Times New Roman" w:hAnsi="Times New Roman" w:cs="Times New Roman"/>
          <w:b/>
          <w:sz w:val="24"/>
        </w:rPr>
        <w:br/>
        <w:t>высшего образования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«Волгоградский государственный технический университет»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Себряковский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филиал 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Кафедра </w:t>
      </w:r>
    </w:p>
    <w:p w:rsidR="00BB36DC" w:rsidRDefault="00122442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«Экономики и финансы</w:t>
      </w:r>
      <w:r w:rsidR="00BB36DC">
        <w:rPr>
          <w:rFonts w:ascii="Times New Roman" w:hAnsi="Times New Roman" w:cs="Times New Roman"/>
          <w:b/>
          <w:sz w:val="24"/>
        </w:rPr>
        <w:t>»</w:t>
      </w:r>
    </w:p>
    <w:tbl>
      <w:tblPr>
        <w:tblW w:w="2243" w:type="pct"/>
        <w:tblLook w:val="01E0" w:firstRow="1" w:lastRow="1" w:firstColumn="1" w:lastColumn="1" w:noHBand="0" w:noVBand="0"/>
      </w:tblPr>
      <w:tblGrid>
        <w:gridCol w:w="4197"/>
      </w:tblGrid>
      <w:tr w:rsidR="00BB36DC" w:rsidTr="00BB36DC">
        <w:tc>
          <w:tcPr>
            <w:tcW w:w="5000" w:type="pct"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B36DC" w:rsidTr="00BB36DC">
        <w:tc>
          <w:tcPr>
            <w:tcW w:w="5000" w:type="pct"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bookmarkStart w:id="0" w:name="_GoBack"/>
        <w:bookmarkEnd w:id="0"/>
      </w:tr>
    </w:tbl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МЕТОИЧЕСКИЕ УКАЗАНИЯ ПО ВЫПОЛНЕНИЮ КОНТРОЛЬНОЙ РАБОТЫ 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 ДИСЦИПЛИНЕ «</w:t>
      </w:r>
      <w:r>
        <w:rPr>
          <w:rFonts w:ascii="Times New Roman" w:hAnsi="Times New Roman" w:cs="Times New Roman"/>
          <w:b/>
          <w:sz w:val="24"/>
        </w:rPr>
        <w:t>АВТОМАТИЗИРОВАННЫЕ СМЕТНЫЕ РАСЧЁТЫ</w:t>
      </w:r>
      <w:r>
        <w:rPr>
          <w:rFonts w:ascii="Times New Roman" w:hAnsi="Times New Roman" w:cs="Times New Roman"/>
          <w:b/>
          <w:sz w:val="24"/>
        </w:rPr>
        <w:t>»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BB36DC" w:rsidTr="00BB36DC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Направление 38.03.01 «Экономика»</w:t>
            </w:r>
          </w:p>
        </w:tc>
      </w:tr>
      <w:tr w:rsidR="00BB36DC" w:rsidTr="00BB36DC"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(код и наименование направление подготовки (специальности))</w:t>
            </w:r>
          </w:p>
        </w:tc>
      </w:tr>
      <w:tr w:rsidR="00BB36DC" w:rsidTr="00BB36DC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профиль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подготовки  «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>Экономика предприятий и организаций»</w:t>
            </w:r>
          </w:p>
        </w:tc>
      </w:tr>
      <w:tr w:rsidR="00BB36DC" w:rsidTr="00BB36DC"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(наименование профиля подготовки (специализации, магистерской программы); при отсутствии ставится прочерк)</w:t>
            </w:r>
          </w:p>
        </w:tc>
      </w:tr>
      <w:tr w:rsidR="00BB36DC" w:rsidTr="00BB36DC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бакалавриат</w:t>
            </w:r>
            <w:proofErr w:type="spellEnd"/>
          </w:p>
        </w:tc>
      </w:tr>
      <w:tr w:rsidR="00BB36DC" w:rsidTr="00BB36DC"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Уровень подготовки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бакалавриат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магистратура,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BB36DC" w:rsidTr="00BB36DC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Форма обучения заочная (срок обучения - нормативный),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заочная (ускоренное обучение на базе СПО)</w:t>
            </w:r>
          </w:p>
        </w:tc>
      </w:tr>
      <w:tr w:rsidR="00BB36DC" w:rsidTr="00BB36DC"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Форма обучения, с указанием срока обучения (нормативный/ускоренный по индивидуальному плану)</w:t>
            </w:r>
          </w:p>
        </w:tc>
      </w:tr>
      <w:tr w:rsidR="00BB36DC" w:rsidTr="00BB36DC">
        <w:tc>
          <w:tcPr>
            <w:tcW w:w="9570" w:type="dxa"/>
          </w:tcPr>
          <w:p w:rsidR="00BB36DC" w:rsidRDefault="00BB36D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Михайловка  2020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г.</w:t>
      </w:r>
    </w:p>
    <w:p w:rsidR="00BB36DC" w:rsidRDefault="00BB36DC" w:rsidP="00BB36DC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BB36DC" w:rsidRDefault="00BB36DC" w:rsidP="00BB36DC">
      <w:pPr>
        <w:pStyle w:val="a3"/>
        <w:spacing w:line="0" w:lineRule="atLeast"/>
        <w:ind w:left="227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Номер вопроса и данные задачи выбираются по последней цифре шифра зачётной книжки.</w:t>
      </w:r>
    </w:p>
    <w:p w:rsidR="00BB36DC" w:rsidRPr="00BB36DC" w:rsidRDefault="00BB36DC" w:rsidP="00BB36DC">
      <w:pPr>
        <w:pStyle w:val="a4"/>
        <w:widowControl w:val="0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</w:t>
      </w:r>
      <w:r w:rsidRPr="00BB36DC">
        <w:rPr>
          <w:i/>
          <w:iCs/>
          <w:sz w:val="28"/>
          <w:szCs w:val="28"/>
        </w:rPr>
        <w:t>еречень вопросов:</w:t>
      </w:r>
    </w:p>
    <w:p w:rsidR="00BB36DC" w:rsidRPr="00BB36DC" w:rsidRDefault="00BB36DC" w:rsidP="00BB36DC">
      <w:pPr>
        <w:pStyle w:val="a4"/>
        <w:widowControl w:val="0"/>
        <w:shd w:val="clear" w:color="auto" w:fill="FFFFFF"/>
        <w:spacing w:before="0" w:beforeAutospacing="0" w:after="0" w:afterAutospacing="0"/>
        <w:jc w:val="both"/>
        <w:rPr>
          <w:b/>
          <w:i/>
          <w:iCs/>
          <w:sz w:val="28"/>
          <w:szCs w:val="28"/>
        </w:rPr>
      </w:pPr>
      <w:r w:rsidRPr="00BB36DC">
        <w:rPr>
          <w:b/>
          <w:i/>
          <w:iCs/>
          <w:sz w:val="28"/>
          <w:szCs w:val="28"/>
        </w:rPr>
        <w:t>Вариант 1.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Цели и задачи автоматизированных сметных расчетов.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Классификация сметных программ.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Технические требования к автоматизированным сметным расчетам.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Основные блоки сметной </w:t>
      </w:r>
      <w:proofErr w:type="gramStart"/>
      <w:r w:rsidRPr="00BB36DC">
        <w:rPr>
          <w:rFonts w:ascii="Times New Roman" w:hAnsi="Times New Roman" w:cs="Times New Roman"/>
          <w:sz w:val="28"/>
          <w:szCs w:val="28"/>
        </w:rPr>
        <w:t>программы  и</w:t>
      </w:r>
      <w:proofErr w:type="gramEnd"/>
      <w:r w:rsidRPr="00BB36DC">
        <w:rPr>
          <w:rFonts w:ascii="Times New Roman" w:hAnsi="Times New Roman" w:cs="Times New Roman"/>
          <w:sz w:val="28"/>
          <w:szCs w:val="28"/>
        </w:rPr>
        <w:t xml:space="preserve"> их назначение.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>Вариант 2.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Базы данных сметных систем.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Гарантии разработчика сметных программ.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Документация и обучение сметным программам.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Организация работы в локальной вычислительной сети.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3.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Защита от несанкционированного использования программ.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Локальная и Конкурентная лицензия.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Сертификат соответствия. Приложение к сертификату.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Интеграция сметных программ. Формат АРПС (Ассоциация разработчиков программных средств для строителей).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4.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Ассоциация разработчиков программных средств для строителей.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Выбор сметной программы.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Системная база сметной программы.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BB36DC">
        <w:rPr>
          <w:rFonts w:ascii="Times New Roman" w:hAnsi="Times New Roman" w:cs="Times New Roman"/>
          <w:sz w:val="28"/>
          <w:szCs w:val="28"/>
        </w:rPr>
        <w:t>Справочники  сметной</w:t>
      </w:r>
      <w:proofErr w:type="gramEnd"/>
      <w:r w:rsidRPr="00BB36DC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5.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Поиск в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сметно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 – нормативной базе сметной программы.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Составление локальной сметы базисно – индексным методом.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Структура локальной сметы.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Операции по строкам локальной сметы.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6.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Источник текущих цен для неучтенных материалов.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Ресурсный метод составления сметы.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Расчет накладных расчетов и сметной прибыли в локальной смете.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Формирование объектной сметы.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7.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Формирование сводного сметного расчета.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Функции учета выполненных работ в программе.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Архив сметных данных. Формирование отчетов.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Методы расчета стоимости строительства, выполняемые с помощью сметных программ.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8.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Типовые формы документов, выпускаемые с помощью сметных программ.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lastRenderedPageBreak/>
        <w:t>Типы сметных программ и их отличие.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Локальная установка сметной программы.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Преимущества организации работы сметных программ с размещением базы данных на сервере.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9. 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Локальный ключ защиты. Сетевой ключ защиты.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Основные назначения формата АРПС в деле автоматизированных сметных расчетов.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Отличие лицензионной сметной программы от ее демонстрационной версии.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Объем гарантийного сопровождения сметной программы.</w:t>
      </w:r>
    </w:p>
    <w:p w:rsidR="00BB36DC" w:rsidRPr="00BB36DC" w:rsidRDefault="00BB36DC" w:rsidP="00BB36DC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B36DC">
        <w:rPr>
          <w:rFonts w:ascii="Times New Roman" w:hAnsi="Times New Roman" w:cs="Times New Roman"/>
          <w:b/>
          <w:i/>
          <w:sz w:val="28"/>
          <w:szCs w:val="28"/>
        </w:rPr>
        <w:t xml:space="preserve">Вариант 0. 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6DC">
        <w:rPr>
          <w:rFonts w:ascii="Times New Roman" w:hAnsi="Times New Roman" w:cs="Times New Roman"/>
          <w:sz w:val="28"/>
          <w:szCs w:val="28"/>
        </w:rPr>
        <w:t xml:space="preserve">Поиск в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сметно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 – нормативной базе сметной программы.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Типы сметных программ и их отличие.</w:t>
      </w:r>
    </w:p>
    <w:p w:rsidR="00BB36DC" w:rsidRP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36DC">
        <w:rPr>
          <w:rFonts w:ascii="Times New Roman" w:hAnsi="Times New Roman" w:cs="Times New Roman"/>
          <w:sz w:val="28"/>
          <w:szCs w:val="28"/>
        </w:rPr>
        <w:t>Базы данных сметных систем.</w:t>
      </w:r>
    </w:p>
    <w:p w:rsidR="00BB36DC" w:rsidRDefault="00BB36DC" w:rsidP="00BB36DC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Технические требования к автоматизированным сметным расчетам.</w:t>
      </w:r>
    </w:p>
    <w:p w:rsidR="00BB36DC" w:rsidRDefault="00BB36DC" w:rsidP="00BB36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36DC" w:rsidRDefault="00BB36DC" w:rsidP="00BB36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1. "Положение о главном инженере (главном архитекторе) проекта". - М.: Проспект, 2016. - 968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Ардзинов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, В. Д. Сметное дело в строительстве. Самоучитель / В.Д.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Ардзинов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>, Н.И. Барановская, А.И. Курочкин. - М.: Питер, 2013. - 496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3. Государственные сметные нормативы. Государственные элементные сметные нормы на строительные и специальные строительные работы. ГЭСН 81-02-09-2001. Часть 9. Строительные металлические конструкции. - М.: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Корина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>-офсет, 2014. - 855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4. Государственные элементные сметные нормы на монтаж оборудования. ГЭСНм-2001. Часть 17. Оборудование предприятий цветной металлургии. - М.: ФГУ ФЦЦС, 2017. - 134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5. Государственные элементные сметные нормы на монтаж оборудования. ГЭСНм-2001. Часть 27. Оборудование предприятий полиграфической промышленности. - М.: ФГУ ФЦЦС, 2014. - 494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6. Государственные элементные сметные нормы на строительные и специальные строительные работы. ГЭСН-2001. Часть 14. Конструкции в сельском хозяйстве. - М.: ФГУ ФЦЦС, 2016. - 1000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7. Государственные элементные сметные нормы на строительные и специальные строительные работы. ГЭСН-2001. Часть 20. Вентиляция и кондиционирование воздуха. - М.: ФГУ ФЦЦС, 2015. - 680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8. Государственные элементные сметные нормы на строительные и специальные строительные работы. ГЭСН-2001. Часть 21. Временные сборно-разборные здания и сооружения. - М.: ФГУ ФЦЦС, 2015. - 404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9. Государственные элементные сметные нормы на строительные и специальные строительные работы. ГЭСН-2001. Часть 22. Водопровод - наружные сети. - М.: ФГУ ФЦЦС, 2014. - 568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lastRenderedPageBreak/>
        <w:t>10. Государственные элементные сметные нормы на строительные и специальные строительные работы. ГЭСН-2001. Часть 36. Земляные конструкции гидротехнических сооружений. - М.: ФГУ ФЦЦС, 2016. - 297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11. Государственные элементные сметные нормы на строительные и специальные строительные работы. ГЭСН-2001. Часть 45. Промышленные печи и трубы. - М.: ФГУ ФЦЦС, 2017. - 753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12. Ермолаев, Е. Е. Ценообразование и сметное нормирование в строительстве. Учебное пособие / Е.Е. Ермолаев, С.Б. Сборщиков, Н.М. Шумейко. - М.: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Стройинформиздат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>, 2014. - 272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13. Казаков, Юрий Как самому составить смету для строительства и ремонта (+ CD-ROM) / Юрий Казаков. - М.: Питер, 2017. - 288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14. Колмогоров, А. Г. Расчет железобетонных конструкций по российским и зарубежным нормам / А.Г. Колмогоров, В.С. Плевков. - М.: Издательство Ассоциации строительных вузов, 2014. - 512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Костко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, О. К. Частный дом со всеми удобствами / О.К.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Костко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Книжкин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 дом, 2015. - 500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16. Молотов, И. И. 50 проектов индивидуальных домов с расчетом количества и стоимости материалов и работ / И.И. Молотов, С.Ю. Самодуров, О.К.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Костко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Книжкин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 xml:space="preserve"> дом, 2015. - 208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17. Общий журнал работ. Порядок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 РД 11-05-2007. - М.: ДЕАН, 2014. - 464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18. Общий справочник инженера-строителя. Строительные и отделочные работы. Расход материалов. - М.: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Харвест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>, 2013. - 480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 xml:space="preserve">19. Сборник цен на изыскательские работы для капитального строительства. - М.: </w:t>
      </w:r>
      <w:proofErr w:type="spellStart"/>
      <w:r w:rsidRPr="00BB36DC">
        <w:rPr>
          <w:rFonts w:ascii="Times New Roman" w:hAnsi="Times New Roman" w:cs="Times New Roman"/>
          <w:sz w:val="28"/>
          <w:szCs w:val="28"/>
        </w:rPr>
        <w:t>Стройиздат</w:t>
      </w:r>
      <w:proofErr w:type="spellEnd"/>
      <w:r w:rsidRPr="00BB36DC">
        <w:rPr>
          <w:rFonts w:ascii="Times New Roman" w:hAnsi="Times New Roman" w:cs="Times New Roman"/>
          <w:sz w:val="28"/>
          <w:szCs w:val="28"/>
        </w:rPr>
        <w:t>, 2016. - 568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20. Стандарт АВОК. Системы отопления и обогрева с газовыми и инфракрасными излучателями. - М.: АВОК-ПРЕСС, 2017. - 809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21. Строительные нормы. Естественное и искусственное освещение. - М.: Энергия, 2013. - 562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22. Тимофеева, Н. Г. Составление сметной документации в строительстве на основе сметно-нормативной базы 2001 года / Н.Г. Тимофеева, Н.В. Целищева. - М.: ДЕАН, 2013. - 768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23. ФЕРп-2001 Часть 2. Автоматизированные системы управления. - М.: Москва, 2013. - 890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24. Федеральные единичные расценки на монтаж оборудования. ФЕРм-2001. Часть 29. Оборудование театрально-зрелищных предприятий. - М.: ФГУ ФЦЦС, 2016. - 430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25. Федеральные единичные расценки на монтаж оборудования. ФЕРм-2001. Часть 34. Оборудование учреждений здравоохранения и предприятий медицинской промышленности. - М.: ФГУ ФЦЦС, 2016. - 652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26. Федеральные единичные расценки на монтаж оборудования. ФЕРм-2001. Часть 39. Контроль монтажных сварных соединений. - М.: ФГУ ФЦЦС, 2013. - 117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lastRenderedPageBreak/>
        <w:t>27. Федеральные единичные расценки на строительные и специальные строительные работы. ФЕР-2001. Часть 15. Отделочные работы. - М.: ФГУ ФЦЦС, 2013. - 741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28. Федеральные единичные расценки на строительные и специальные строительные работы. ФЕР-2001. Часть 36. Земляные конструкции гидротехнических сооружений. - М.: ФГУ ФЦЦС, 2015. - 303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29. Федеральные единичные расценки на строительные и специальные строительные работы. ФЕР-2001. Часть 4. Скважины. - М.: ФГУ ФЦЦС, 2015. - 565 c.</w:t>
      </w: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36DC">
        <w:rPr>
          <w:rFonts w:ascii="Times New Roman" w:hAnsi="Times New Roman" w:cs="Times New Roman"/>
          <w:sz w:val="28"/>
          <w:szCs w:val="28"/>
        </w:rPr>
        <w:t>30. Цементы общестроительные. Технические условия. ГОСТ 31108-2003. - М.: ДЕАН, 2015. - 477 c.</w:t>
      </w:r>
    </w:p>
    <w:p w:rsidR="00BB36DC" w:rsidRPr="00BB36DC" w:rsidRDefault="00BB36DC" w:rsidP="00BB36D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B36DC" w:rsidRPr="00BB36DC" w:rsidRDefault="00BB36DC" w:rsidP="00BB36D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B36DC" w:rsidRDefault="00BB36DC" w:rsidP="00BB36D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B36DC" w:rsidRPr="00BB36DC" w:rsidRDefault="00BB36DC" w:rsidP="00BB36D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B36DC" w:rsidRPr="00BB36DC" w:rsidRDefault="00BB36D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3FC" w:rsidRPr="00BB36DC" w:rsidRDefault="002753FC" w:rsidP="00BB36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53FC" w:rsidRPr="00BB3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700BA"/>
    <w:multiLevelType w:val="hybridMultilevel"/>
    <w:tmpl w:val="8B7EE574"/>
    <w:lvl w:ilvl="0" w:tplc="FEFA43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DC"/>
    <w:rsid w:val="00122442"/>
    <w:rsid w:val="002753FC"/>
    <w:rsid w:val="00BB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73E72-4C47-448D-9827-EF8FC036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6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6DC"/>
    <w:pPr>
      <w:ind w:left="720"/>
      <w:contextualSpacing/>
    </w:pPr>
  </w:style>
  <w:style w:type="paragraph" w:styleId="a4">
    <w:name w:val="Normal (Web)"/>
    <w:basedOn w:val="a"/>
    <w:uiPriority w:val="99"/>
    <w:rsid w:val="00BB3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2020-10-07T07:20:00Z</dcterms:created>
  <dcterms:modified xsi:type="dcterms:W3CDTF">2020-10-07T07:32:00Z</dcterms:modified>
</cp:coreProperties>
</file>