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523" w:rsidRPr="00473523" w:rsidRDefault="00473523" w:rsidP="00473523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7352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Введение</w:t>
      </w:r>
    </w:p>
    <w:p w:rsidR="00473523" w:rsidRPr="00473523" w:rsidRDefault="00473523" w:rsidP="0047352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Контрольная работа студентов является наиболее важным и трудоемким видом учебной и научно-исследовательской работой. Особенно значима она по дисциплине «Автоматизация и автоматическое управление систем ТГВ», которая по объему лекционных и практических занятий не велика, но при этом требуется сформировать устойчивые навыки в построении инженерных чертежей. Поэтому необходимо превратить контрольную работу студентов из скучной и нудной необходимости в увлекательную, полезную и незаменимую, в ходе которой студент должен осознать, что учебный процесс непременно требует самообразования, осознанной, четко продуманной и направляемой преподавателем работы.</w:t>
      </w:r>
    </w:p>
    <w:p w:rsidR="00473523" w:rsidRDefault="00473523" w:rsidP="00473523">
      <w:pPr>
        <w:pStyle w:val="1"/>
        <w:shd w:val="clear" w:color="auto" w:fill="1874CD"/>
        <w:spacing w:after="300" w:afterAutospacing="0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Цель и задачи выполнения контрольной работы</w:t>
      </w:r>
    </w:p>
    <w:p w:rsidR="00473523" w:rsidRDefault="00473523" w:rsidP="004735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 контрольной работы</w:t>
      </w:r>
      <w:r>
        <w:rPr>
          <w:rFonts w:ascii="Arial" w:hAnsi="Arial" w:cs="Arial"/>
          <w:color w:val="000000"/>
          <w:sz w:val="21"/>
          <w:szCs w:val="21"/>
        </w:rPr>
        <w:t> студентов - концентрация внимания на ключевых знаниях изучаемой дисциплины с целью их углубления и расширения, закрепления и систематизации.</w:t>
      </w:r>
    </w:p>
    <w:p w:rsidR="00473523" w:rsidRDefault="00473523" w:rsidP="0047352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Задачами контрольной работы</w:t>
      </w:r>
      <w:r>
        <w:rPr>
          <w:rFonts w:ascii="Arial" w:hAnsi="Arial" w:cs="Arial"/>
          <w:color w:val="000000"/>
          <w:sz w:val="21"/>
          <w:szCs w:val="21"/>
        </w:rPr>
        <w:t> студентов являются:</w:t>
      </w:r>
    </w:p>
    <w:p w:rsidR="00473523" w:rsidRDefault="00473523" w:rsidP="004735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самообразование, самостоятельное применения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знаний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полученных на лекционных и практических занятиях для решения конкретных технических задач в области автоматизации и математического моделирования;</w:t>
      </w:r>
    </w:p>
    <w:p w:rsidR="00473523" w:rsidRDefault="00473523" w:rsidP="004735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абота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с учебной и научной литературой по изучаемой дисциплине, государственными и отраслевыми стандартами;</w:t>
      </w:r>
    </w:p>
    <w:p w:rsidR="00473523" w:rsidRDefault="00473523" w:rsidP="004735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оформление результатов работы в соответствии с требованиями действующих стандартов;</w:t>
      </w:r>
    </w:p>
    <w:p w:rsidR="00473523" w:rsidRDefault="00473523" w:rsidP="0047352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рациональная организация и эффективное управление самостоятельной работой.</w:t>
      </w:r>
    </w:p>
    <w:p w:rsidR="00473523" w:rsidRPr="00473523" w:rsidRDefault="00473523" w:rsidP="00473523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7352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3. Содержание контрольной работы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алгоритмическую схему системы автоматического регулирования.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Составить математическую модель системы: определяются дифференциальные уравнения для каждого звена и определяются передаточные функции основных элементов и их параметры. Определяется передаточная функция замкнутого и разомкнутого контура системы.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Описать принцип работы системы.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 помощью критериев устойчивости проверить устойчивость линейной части системы при заданных параметрах (критерий Гурвица, Михайлова, Найквиста).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 </w:t>
      </w:r>
      <w:r w:rsidRPr="0047352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-разбиения построить область устойчивости по одному параметру (по коэффициенту усиления системы) и определить его оптимальное значение.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Построить логарифмические частотные </w:t>
      </w:r>
      <w:proofErr w:type="gram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характеристики  системы</w:t>
      </w:r>
      <w:proofErr w:type="gram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Построить график переходного процесса для исходной системы.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Определить корректирующее устройство системы, исходя из заданных значений перерегулирования и времени переходного процесса ( </w:t>
      </w:r>
      <w:r>
        <w:rPr>
          <w:noProof/>
          <w:lang w:eastAsia="ru-RU"/>
        </w:rPr>
        <w:drawing>
          <wp:inline distT="0" distB="0" distL="0" distR="0" wp14:anchorId="6BFA1229" wp14:editId="6698ADF8">
            <wp:extent cx="1990725" cy="238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).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Методом трапеций построить график переходного процесса скорректированной системы и оценить его по показателям качества.</w:t>
      </w:r>
    </w:p>
    <w:p w:rsidR="00473523" w:rsidRPr="00473523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Используя принципы моделирования, получить все графики в пакете </w:t>
      </w:r>
      <w:proofErr w:type="gram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MATHLAB .</w:t>
      </w:r>
      <w:proofErr w:type="gramEnd"/>
    </w:p>
    <w:p w:rsidR="002B5AEA" w:rsidRDefault="00473523" w:rsidP="0047352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Сделать выводы.</w:t>
      </w:r>
    </w:p>
    <w:p w:rsidR="002B5AEA" w:rsidRDefault="002B5AEA" w:rsidP="002B5AEA">
      <w:pPr>
        <w:rPr>
          <w:rFonts w:ascii="Arial" w:eastAsia="Times New Roman" w:hAnsi="Arial" w:cs="Arial"/>
          <w:sz w:val="21"/>
          <w:szCs w:val="21"/>
          <w:lang w:eastAsia="ru-RU"/>
        </w:rPr>
      </w:pPr>
    </w:p>
    <w:p w:rsidR="00473523" w:rsidRDefault="002B5AEA" w:rsidP="002B5AEA">
      <w:pPr>
        <w:tabs>
          <w:tab w:val="left" w:pos="1500"/>
        </w:tabs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Arial" w:eastAsia="Times New Roman" w:hAnsi="Arial" w:cs="Arial"/>
          <w:sz w:val="21"/>
          <w:szCs w:val="21"/>
          <w:lang w:eastAsia="ru-RU"/>
        </w:rPr>
        <w:tab/>
      </w:r>
    </w:p>
    <w:p w:rsidR="002B5AEA" w:rsidRDefault="002B5AEA" w:rsidP="002B5AEA">
      <w:pPr>
        <w:tabs>
          <w:tab w:val="left" w:pos="1500"/>
        </w:tabs>
        <w:rPr>
          <w:rFonts w:ascii="Arial" w:eastAsia="Times New Roman" w:hAnsi="Arial" w:cs="Arial"/>
          <w:sz w:val="21"/>
          <w:szCs w:val="21"/>
          <w:lang w:eastAsia="ru-RU"/>
        </w:rPr>
      </w:pPr>
    </w:p>
    <w:p w:rsidR="002B5AEA" w:rsidRDefault="002B5AEA" w:rsidP="002B5AEA">
      <w:pPr>
        <w:tabs>
          <w:tab w:val="left" w:pos="1500"/>
        </w:tabs>
        <w:rPr>
          <w:rFonts w:ascii="Arial" w:eastAsia="Times New Roman" w:hAnsi="Arial" w:cs="Arial"/>
          <w:sz w:val="21"/>
          <w:szCs w:val="21"/>
          <w:lang w:eastAsia="ru-RU"/>
        </w:rPr>
      </w:pPr>
    </w:p>
    <w:p w:rsidR="002B5AEA" w:rsidRDefault="002B5AEA" w:rsidP="002B5AEA">
      <w:pPr>
        <w:tabs>
          <w:tab w:val="left" w:pos="1500"/>
        </w:tabs>
        <w:rPr>
          <w:rFonts w:ascii="Arial" w:eastAsia="Times New Roman" w:hAnsi="Arial" w:cs="Arial"/>
          <w:sz w:val="21"/>
          <w:szCs w:val="21"/>
          <w:lang w:eastAsia="ru-RU"/>
        </w:rPr>
      </w:pPr>
    </w:p>
    <w:p w:rsidR="002B5AEA" w:rsidRPr="002B5AEA" w:rsidRDefault="002B5AEA" w:rsidP="002B5AEA">
      <w:pPr>
        <w:tabs>
          <w:tab w:val="left" w:pos="1500"/>
        </w:tabs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4C2A89EF" wp14:editId="1628AB66">
            <wp:extent cx="5940425" cy="339661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96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5EE" w:rsidRDefault="00473523">
      <w:r>
        <w:rPr>
          <w:noProof/>
          <w:lang w:eastAsia="ru-RU"/>
        </w:rPr>
        <w:drawing>
          <wp:inline distT="0" distB="0" distL="0" distR="0" wp14:anchorId="1708E243" wp14:editId="7AF7A9B4">
            <wp:extent cx="5940425" cy="282384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523" w:rsidRDefault="00473523">
      <w:r>
        <w:rPr>
          <w:noProof/>
          <w:lang w:eastAsia="ru-RU"/>
        </w:rPr>
        <w:lastRenderedPageBreak/>
        <w:drawing>
          <wp:inline distT="0" distB="0" distL="0" distR="0" wp14:anchorId="3F352DEF" wp14:editId="7058DA6A">
            <wp:extent cx="5940425" cy="26854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A1A1149" wp14:editId="64E9ED27">
            <wp:extent cx="5940425" cy="307467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523" w:rsidRDefault="00473523"/>
    <w:p w:rsidR="00473523" w:rsidRDefault="00473523">
      <w:r>
        <w:rPr>
          <w:noProof/>
          <w:lang w:eastAsia="ru-RU"/>
        </w:rPr>
        <w:lastRenderedPageBreak/>
        <w:drawing>
          <wp:inline distT="0" distB="0" distL="0" distR="0" wp14:anchorId="151DCD01" wp14:editId="3D19EFC1">
            <wp:extent cx="5940425" cy="309626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CFA33E2" wp14:editId="2BC89FF9">
            <wp:extent cx="5940425" cy="327660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6CBD60E3" wp14:editId="3C5C60BF">
            <wp:extent cx="5940425" cy="2680335"/>
            <wp:effectExtent l="0" t="0" r="3175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8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73523" w:rsidRPr="00473523" w:rsidRDefault="00473523" w:rsidP="00473523">
      <w:pPr>
        <w:shd w:val="clear" w:color="auto" w:fill="1874CD"/>
        <w:spacing w:beforeAutospacing="1" w:after="300" w:line="240" w:lineRule="auto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47352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lastRenderedPageBreak/>
        <w:t>5. Список рекомендуемой литературы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Хубаев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С. – М.К. Автоматизация систем теплогазоснабжения и вентиляции: учеб. пособие для вузов/ С. – М.К.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Хубаев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М.: АСВ, 2006. – 72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Горячев О.В., Руднев С.А. Основы теории компьютерного управления: учеб. пособие/ О.В. Горячев, С.А. Руднев. – Тула: Изд-во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2008. – 222 с. – Режим доступа: </w:t>
      </w:r>
      <w:hyperlink r:id="rId15" w:tgtFrame="_blank" w:history="1">
        <w:r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https://tsutula.bibliotech.ru/Reader/Book/2013040914342128499900001265 </w:t>
        </w:r>
      </w:hyperlink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 Электронный читальный зал «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Библиотех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», по паролю.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Котюк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А.Ф. Датчики в современных измерениях/ А.Ф.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Котюк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–М.: Радио и связь. Горячая линия. Телеком, 2006. – 96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Мирошник И.В. Теория автоматического управления. Линейные системы: учеб. пособие для вузов/ И.В. Мирошник [и др.]-М.: Питер, 2005. – 336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Теория автоматического управления: учебник для вузов/Е.И. Юревич. –3-е изд. –СПб.: БХВ-Петербург, 2007. – 560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Востриков А.С. Теория автоматического регулирование: учеб. пособие для вузов/ А.С. Востриков, Г.А.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Французова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2-е изд. стер. – М.: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2006. – 365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Певзнер Л.Д. Практикум по теории автоматического управления: учеб. пособие для вузов/ Л.Д Певзнер. – М.: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2006. – 590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Теория автоматического управления: Учебник для вузов/ С.Е.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Душин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[и др.]; Под ред. В.Б. Яковлева. – М.: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2003. – 567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Теория автоматического управления: Учебник для вузов/ В.Н. Брюханов [и др.]; Под ред. Ю.М.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Соломенцева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– 4-е изд. стер. – М.: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Высш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шк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., 2003. – 268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Теория автоматического управления: Учебник для вузов/ А.А. Ерофеев. – 2-е изд.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перераб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доп. – СПб.: Политехника, 2001. – 302 с.</w:t>
      </w:r>
    </w:p>
    <w:p w:rsidR="00473523" w:rsidRPr="00473523" w:rsidRDefault="00473523" w:rsidP="0047352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EIB-система автоматизации зданий/Д. Дитрих [и др.], науч. ред. пер. </w:t>
      </w:r>
      <w:proofErr w:type="gram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с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нем</w:t>
      </w:r>
      <w:proofErr w:type="gram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.О.Б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  <w:proofErr w:type="spellStart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Низамутдинов</w:t>
      </w:r>
      <w:proofErr w:type="spellEnd"/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М.В. Гордеев. – Пермь: ПГТУ, 2001. – 378 с.</w:t>
      </w:r>
    </w:p>
    <w:p w:rsidR="00473523" w:rsidRPr="00473523" w:rsidRDefault="00473523" w:rsidP="0047352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Периодические издания</w:t>
      </w:r>
    </w:p>
    <w:p w:rsidR="00473523" w:rsidRPr="00473523" w:rsidRDefault="00431E39" w:rsidP="004735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6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«Энергосбережение»: специализированный журнал. – М.: ООО ИИП «АВОК-ПРЕСС».</w:t>
        </w:r>
      </w:hyperlink>
    </w:p>
    <w:p w:rsidR="00473523" w:rsidRPr="00473523" w:rsidRDefault="00431E39" w:rsidP="004735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7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«Автоматика и телемеханика» / РАН. – М.: Наука.</w:t>
        </w:r>
      </w:hyperlink>
    </w:p>
    <w:p w:rsidR="00473523" w:rsidRPr="00473523" w:rsidRDefault="00473523" w:rsidP="0047352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«Математическое моделирование» / РАН. – М.: Наука</w:t>
      </w:r>
    </w:p>
    <w:p w:rsidR="00473523" w:rsidRPr="00473523" w:rsidRDefault="00473523" w:rsidP="0047352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Интернет-ресурсы</w:t>
      </w:r>
    </w:p>
    <w:p w:rsidR="00473523" w:rsidRPr="00473523" w:rsidRDefault="00431E39" w:rsidP="004735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8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сайт кафедры Технологии воды и топлива Московского энергетического университета</w:t>
        </w:r>
      </w:hyperlink>
    </w:p>
    <w:p w:rsidR="00473523" w:rsidRPr="00473523" w:rsidRDefault="00431E39" w:rsidP="004735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9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сайт научного сообщества АВОК</w:t>
        </w:r>
      </w:hyperlink>
    </w:p>
    <w:p w:rsidR="00473523" w:rsidRPr="00473523" w:rsidRDefault="00431E39" w:rsidP="004735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0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ЭБС издательства «</w:t>
        </w:r>
        <w:proofErr w:type="spellStart"/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Юрайт</w:t>
        </w:r>
        <w:proofErr w:type="spellEnd"/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»</w:t>
        </w:r>
      </w:hyperlink>
    </w:p>
    <w:p w:rsidR="00473523" w:rsidRPr="00473523" w:rsidRDefault="00431E39" w:rsidP="004735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1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Электронный читальный зал “БИБЛИОТЕХ”</w:t>
        </w:r>
      </w:hyperlink>
      <w:r w:rsidR="00473523"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: учебники авторов </w:t>
      </w:r>
      <w:proofErr w:type="spellStart"/>
      <w:r w:rsidR="00473523"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ТулГУ</w:t>
      </w:r>
      <w:proofErr w:type="spellEnd"/>
      <w:r w:rsidR="00473523" w:rsidRPr="0047352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всем дисциплинам.</w:t>
      </w:r>
    </w:p>
    <w:p w:rsidR="00473523" w:rsidRPr="00473523" w:rsidRDefault="00431E39" w:rsidP="004735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2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Единое окно доступа к образовательным ресурсам: портал.</w:t>
        </w:r>
      </w:hyperlink>
    </w:p>
    <w:p w:rsidR="00473523" w:rsidRPr="00473523" w:rsidRDefault="00431E39" w:rsidP="0047352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23" w:tgtFrame="_blank" w:history="1">
        <w:r w:rsidR="00473523" w:rsidRPr="0047352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сайт научно–технического журнала «Инженерные системы. АВОК Северо-Запад».</w:t>
        </w:r>
      </w:hyperlink>
    </w:p>
    <w:p w:rsidR="00473523" w:rsidRDefault="00473523"/>
    <w:sectPr w:rsidR="00473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1E39" w:rsidRDefault="00431E39" w:rsidP="002B5AEA">
      <w:pPr>
        <w:spacing w:after="0" w:line="240" w:lineRule="auto"/>
      </w:pPr>
      <w:r>
        <w:separator/>
      </w:r>
    </w:p>
  </w:endnote>
  <w:endnote w:type="continuationSeparator" w:id="0">
    <w:p w:rsidR="00431E39" w:rsidRDefault="00431E39" w:rsidP="002B5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1E39" w:rsidRDefault="00431E39" w:rsidP="002B5AEA">
      <w:pPr>
        <w:spacing w:after="0" w:line="240" w:lineRule="auto"/>
      </w:pPr>
      <w:r>
        <w:separator/>
      </w:r>
    </w:p>
  </w:footnote>
  <w:footnote w:type="continuationSeparator" w:id="0">
    <w:p w:rsidR="00431E39" w:rsidRDefault="00431E39" w:rsidP="002B5A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F02E8"/>
    <w:multiLevelType w:val="multilevel"/>
    <w:tmpl w:val="5CD85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34415A"/>
    <w:multiLevelType w:val="multilevel"/>
    <w:tmpl w:val="C6B6B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53B09B1"/>
    <w:multiLevelType w:val="multilevel"/>
    <w:tmpl w:val="E28E1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514DD3"/>
    <w:multiLevelType w:val="multilevel"/>
    <w:tmpl w:val="C79EA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25791D"/>
    <w:multiLevelType w:val="multilevel"/>
    <w:tmpl w:val="43EAD7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4D6"/>
    <w:rsid w:val="000354D6"/>
    <w:rsid w:val="002B5AEA"/>
    <w:rsid w:val="00431E39"/>
    <w:rsid w:val="00473523"/>
    <w:rsid w:val="00A41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921D0"/>
  <w15:chartTrackingRefBased/>
  <w15:docId w15:val="{F55CD62C-FD7F-437A-A2F7-C4355C7F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352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52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4735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473523"/>
    <w:rPr>
      <w:b/>
      <w:bCs/>
    </w:rPr>
  </w:style>
  <w:style w:type="character" w:customStyle="1" w:styleId="form">
    <w:name w:val="form"/>
    <w:basedOn w:val="a0"/>
    <w:rsid w:val="00473523"/>
  </w:style>
  <w:style w:type="character" w:styleId="a4">
    <w:name w:val="Hyperlink"/>
    <w:basedOn w:val="a0"/>
    <w:uiPriority w:val="99"/>
    <w:semiHidden/>
    <w:unhideWhenUsed/>
    <w:rsid w:val="0047352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B5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5AEA"/>
  </w:style>
  <w:style w:type="paragraph" w:styleId="a7">
    <w:name w:val="footer"/>
    <w:basedOn w:val="a"/>
    <w:link w:val="a8"/>
    <w:uiPriority w:val="99"/>
    <w:unhideWhenUsed/>
    <w:rsid w:val="002B5A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5A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3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837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2845444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056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788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2114848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933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04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215694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156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726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1869939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yperlink" Target="http://twt.mpei.ac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sutula.bibliotech.ru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://ait.mtas.ru/ru/about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abok.ru/pages.php?block=en_mag" TargetMode="External"/><Relationship Id="rId20" Type="http://schemas.openxmlformats.org/officeDocument/2006/relationships/hyperlink" Target="https://biblio-online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tsutula.bibliotech.ru/Reader/Book/2013040914342128499900001265" TargetMode="External"/><Relationship Id="rId23" Type="http://schemas.openxmlformats.org/officeDocument/2006/relationships/hyperlink" Target="http://isjournal.ru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avoknw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http://window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792</Words>
  <Characters>4519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3</cp:revision>
  <dcterms:created xsi:type="dcterms:W3CDTF">2021-09-14T08:17:00Z</dcterms:created>
  <dcterms:modified xsi:type="dcterms:W3CDTF">2022-01-27T09:37:00Z</dcterms:modified>
</cp:coreProperties>
</file>