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.xml" ContentType="application/vnd.openxmlformats-officedocument.drawingml.chart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Override1.xml" ContentType="application/vnd.openxmlformats-officedocument.themeOverrid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993"/>
        <w:rPr>
          <w:rFonts w:eastAsia="FranklinGothicBook"/>
          <w:b/>
          <w:sz w:val="28"/>
          <w:szCs w:val="28"/>
        </w:rPr>
      </w:pPr>
      <w:r/>
      <w:bookmarkStart w:id="0" w:name="_GoBack"/>
      <w:r/>
      <w:bookmarkEnd w:id="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915150" cy="1123950"/>
                <wp:effectExtent l="0" t="0" r="0" b="0"/>
                <wp:docPr id="1" name="Рисунок 1" descr="Шап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Шапка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915150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44.50pt;height:88.5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  <w:lang w:val="en-US"/>
        </w:rPr>
      </w:pPr>
      <w:r>
        <w:rPr>
          <w:rFonts w:eastAsia="FranklinGothicBook"/>
          <w:b/>
          <w:sz w:val="28"/>
          <w:szCs w:val="28"/>
          <w:lang w:val="en-US"/>
        </w:rPr>
      </w:r>
      <w:r>
        <w:rPr>
          <w:rFonts w:eastAsia="FranklinGothicBook"/>
          <w:b/>
          <w:sz w:val="28"/>
          <w:szCs w:val="28"/>
          <w:lang w:val="en-US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spacing w:line="360" w:lineRule="auto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  <w:t xml:space="preserve">МЕТОДИЧЕСКИЕ </w:t>
      </w:r>
      <w:r>
        <w:rPr>
          <w:rFonts w:eastAsia="FranklinGothicBook"/>
          <w:b/>
          <w:bCs/>
          <w:sz w:val="28"/>
          <w:szCs w:val="28"/>
        </w:rPr>
        <w:t xml:space="preserve">УКАЗАНИЯ</w:t>
      </w:r>
      <w:r>
        <w:rPr>
          <w:rFonts w:eastAsia="FranklinGothicBook"/>
          <w:b/>
          <w:bCs/>
          <w:sz w:val="28"/>
          <w:szCs w:val="28"/>
        </w:rPr>
        <w:t xml:space="preserve"> ПО</w:t>
      </w:r>
      <w:r>
        <w:rPr>
          <w:rFonts w:eastAsia="FranklinGothicBook"/>
          <w:b/>
          <w:bCs/>
          <w:sz w:val="28"/>
          <w:szCs w:val="28"/>
        </w:rPr>
        <w:t xml:space="preserve"> </w:t>
      </w:r>
      <w:r>
        <w:rPr>
          <w:rFonts w:eastAsia="FranklinGothicBook"/>
          <w:b/>
          <w:bCs/>
          <w:sz w:val="28"/>
          <w:szCs w:val="28"/>
        </w:rPr>
        <w:t xml:space="preserve">ОРГАНИЗАЦИИ </w:t>
      </w:r>
      <w:r>
        <w:rPr>
          <w:rFonts w:eastAsia="FranklinGothicBook"/>
          <w:b/>
          <w:bCs/>
          <w:sz w:val="28"/>
          <w:szCs w:val="28"/>
        </w:rPr>
        <w:t xml:space="preserve">ПОДГОТОВК</w:t>
      </w:r>
      <w:r>
        <w:rPr>
          <w:rFonts w:eastAsia="FranklinGothicBook"/>
          <w:b/>
          <w:bCs/>
          <w:sz w:val="28"/>
          <w:szCs w:val="28"/>
        </w:rPr>
        <w:t xml:space="preserve">И</w:t>
      </w:r>
      <w:r>
        <w:rPr>
          <w:rFonts w:eastAsia="FranklinGothicBook"/>
          <w:b/>
          <w:bCs/>
          <w:sz w:val="28"/>
          <w:szCs w:val="28"/>
        </w:rPr>
        <w:t xml:space="preserve">,</w:t>
      </w:r>
      <w:r>
        <w:rPr>
          <w:rFonts w:eastAsia="FranklinGothicBook"/>
          <w:b/>
          <w:bCs/>
          <w:sz w:val="28"/>
          <w:szCs w:val="28"/>
        </w:rPr>
        <w:t xml:space="preserve"> </w:t>
      </w:r>
      <w:r>
        <w:rPr>
          <w:rFonts w:eastAsia="FranklinGothicBook"/>
          <w:b/>
          <w:bCs/>
          <w:sz w:val="28"/>
          <w:szCs w:val="28"/>
        </w:rPr>
        <w:t xml:space="preserve">ВЫПОЛНЕНИЮ</w:t>
      </w:r>
      <w:r>
        <w:rPr>
          <w:rFonts w:eastAsia="FranklinGothicBook"/>
          <w:b/>
          <w:bCs/>
          <w:sz w:val="28"/>
          <w:szCs w:val="28"/>
        </w:rPr>
        <w:t xml:space="preserve"> </w:t>
      </w:r>
      <w:r>
        <w:rPr>
          <w:rFonts w:eastAsia="FranklinGothicBook"/>
          <w:b/>
          <w:bCs/>
          <w:sz w:val="28"/>
          <w:szCs w:val="28"/>
        </w:rPr>
        <w:t xml:space="preserve">И ЗАЩИТЕ КУРСОВ</w:t>
      </w:r>
      <w:r>
        <w:rPr>
          <w:rFonts w:eastAsia="FranklinGothicBook"/>
          <w:b/>
          <w:bCs/>
          <w:sz w:val="28"/>
          <w:szCs w:val="28"/>
        </w:rPr>
        <w:t xml:space="preserve">ОЙ</w:t>
      </w:r>
      <w:r>
        <w:rPr>
          <w:rFonts w:eastAsia="FranklinGothicBook"/>
          <w:b/>
          <w:bCs/>
          <w:sz w:val="28"/>
          <w:szCs w:val="28"/>
        </w:rPr>
        <w:t xml:space="preserve"> РАБОТ</w:t>
      </w:r>
      <w:r>
        <w:rPr>
          <w:rFonts w:eastAsia="FranklinGothicBook"/>
          <w:b/>
          <w:bCs/>
          <w:sz w:val="28"/>
          <w:szCs w:val="28"/>
        </w:rPr>
        <w:t xml:space="preserve">Ы</w:t>
      </w:r>
      <w:r>
        <w:rPr>
          <w:rFonts w:eastAsia="FranklinGothicBook"/>
          <w:b/>
          <w:bCs/>
          <w:sz w:val="28"/>
          <w:szCs w:val="28"/>
        </w:rPr>
        <w:t xml:space="preserve"> </w:t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spacing w:line="360" w:lineRule="auto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spacing w:line="360" w:lineRule="auto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  <w:t xml:space="preserve">по </w:t>
      </w:r>
      <w:r>
        <w:rPr>
          <w:rFonts w:eastAsia="FranklinGothicBook"/>
          <w:b/>
          <w:bCs/>
          <w:sz w:val="28"/>
          <w:szCs w:val="28"/>
        </w:rPr>
        <w:t xml:space="preserve">дисциплине</w:t>
      </w:r>
      <w:r>
        <w:rPr>
          <w:rFonts w:eastAsia="FranklinGothicBook"/>
          <w:b/>
          <w:bCs/>
          <w:sz w:val="28"/>
          <w:szCs w:val="28"/>
        </w:rPr>
        <w:t xml:space="preserve"> </w:t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spacing w:line="360" w:lineRule="auto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  <w:t xml:space="preserve">«</w:t>
      </w:r>
      <w:r>
        <w:rPr>
          <w:rFonts w:eastAsia="FranklinGothicBook"/>
          <w:b/>
          <w:bCs/>
          <w:sz w:val="28"/>
          <w:szCs w:val="28"/>
        </w:rPr>
        <w:t xml:space="preserve">Оценка эффективности государственного и муниципального управления</w:t>
      </w:r>
      <w:r>
        <w:rPr>
          <w:rFonts w:eastAsia="FranklinGothicBook"/>
          <w:b/>
          <w:bCs/>
          <w:sz w:val="28"/>
          <w:szCs w:val="28"/>
        </w:rPr>
        <w:t xml:space="preserve">»</w:t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  <w:t xml:space="preserve">(уровень образования – бакалавриат)</w:t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bCs/>
          <w:sz w:val="28"/>
          <w:szCs w:val="28"/>
        </w:rPr>
      </w:pPr>
      <w:r>
        <w:rPr>
          <w:rFonts w:eastAsia="FranklinGothicBook"/>
          <w:b/>
          <w:bCs/>
          <w:sz w:val="28"/>
          <w:szCs w:val="28"/>
        </w:rPr>
      </w:r>
      <w:r>
        <w:rPr>
          <w:rFonts w:eastAsia="FranklinGothicBook"/>
          <w:b/>
          <w:bCs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  <w:t xml:space="preserve">Москва</w:t>
      </w:r>
      <w:r>
        <w:rPr>
          <w:rFonts w:eastAsia="FranklinGothicBook"/>
          <w:b/>
          <w:sz w:val="28"/>
          <w:szCs w:val="28"/>
        </w:rPr>
        <w:t xml:space="preserve">, 20</w:t>
      </w:r>
      <w:r>
        <w:rPr>
          <w:rFonts w:eastAsia="FranklinGothicBook"/>
          <w:b/>
          <w:sz w:val="28"/>
          <w:szCs w:val="28"/>
        </w:rPr>
        <w:t xml:space="preserve">2</w:t>
      </w:r>
      <w:r>
        <w:rPr>
          <w:rFonts w:eastAsia="FranklinGothicBook"/>
          <w:b/>
          <w:sz w:val="28"/>
          <w:szCs w:val="28"/>
        </w:rPr>
        <w:t xml:space="preserve">1</w:t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ind w:firstLine="709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Автор-составитель:</w:t>
      </w:r>
      <w:r>
        <w:rPr>
          <w:i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Бушуева Н.В., к.э.н., доцент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32"/>
        </w:rPr>
      </w:pPr>
      <w:r>
        <w:rPr>
          <w:sz w:val="32"/>
        </w:rPr>
      </w:r>
      <w:r>
        <w:rPr>
          <w:sz w:val="32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Методические указания по выполнению и защите курсовой работы: учебно-методические материалы</w:t>
      </w:r>
      <w:r>
        <w:rPr>
          <w:sz w:val="28"/>
          <w:szCs w:val="28"/>
        </w:rPr>
        <w:t xml:space="preserve"> // Н.В. Бушуева – М.: МУ им. С.Ю. Витте, 2021.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32"/>
        </w:rPr>
      </w:pPr>
      <w:r>
        <w:rPr>
          <w:sz w:val="32"/>
        </w:rPr>
      </w:r>
      <w:r>
        <w:rPr>
          <w:sz w:val="32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предлагаемых методических указаниях для студентов изложены основные </w:t>
      </w:r>
      <w:r>
        <w:rPr>
          <w:sz w:val="28"/>
          <w:szCs w:val="28"/>
        </w:rPr>
        <w:t xml:space="preserve">подходы и принципы подготовки курсовой работы, рассматривается порядок аттестации, формулируются критерии оценки курсовой работы. Приведены основные требования к содержанию курсовой работы. Особое внимание обращается на самостоятельное изучение требований </w:t>
      </w:r>
      <w:r>
        <w:rPr>
          <w:color w:val="000000"/>
          <w:sz w:val="28"/>
          <w:szCs w:val="28"/>
        </w:rPr>
        <w:t xml:space="preserve">ГОСТ по оформлению элементов работы.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Методические указания предназначены для студентов </w:t>
      </w:r>
      <w:r>
        <w:rPr>
          <w:sz w:val="28"/>
          <w:szCs w:val="28"/>
        </w:rPr>
        <w:t xml:space="preserve">направления </w:t>
      </w:r>
      <w:r>
        <w:rPr>
          <w:sz w:val="28"/>
          <w:szCs w:val="28"/>
        </w:rPr>
        <w:t xml:space="preserve">38.03.04 Государственное и муниципальное управление </w:t>
      </w:r>
      <w:r>
        <w:rPr>
          <w:sz w:val="28"/>
          <w:szCs w:val="28"/>
        </w:rPr>
        <w:t xml:space="preserve">всех форм обучения.</w:t>
      </w:r>
      <w:r>
        <w:rPr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</w:r>
      <w:r>
        <w:rPr>
          <w:rFonts w:eastAsia="FranklinGothicBook"/>
          <w:b/>
          <w:sz w:val="28"/>
          <w:szCs w:val="28"/>
        </w:rPr>
      </w:r>
    </w:p>
    <w:p>
      <w:pPr>
        <w:pStyle w:val="823"/>
        <w:ind w:firstLine="709"/>
        <w:jc w:val="center"/>
        <w:spacing w:before="0" w:line="360" w:lineRule="auto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СОДЕРЖАНИЕ</w:t>
      </w:r>
      <w:r>
        <w:rPr>
          <w:rFonts w:ascii="Times New Roman" w:hAnsi="Times New Roman"/>
          <w:color w:val="auto"/>
        </w:rPr>
      </w:r>
    </w:p>
    <w:p>
      <w:r/>
      <w:r/>
    </w:p>
    <w:p>
      <w:pPr>
        <w:pStyle w:val="824"/>
        <w:ind w:firstLine="709"/>
        <w:jc w:val="both"/>
        <w:spacing w:line="360" w:lineRule="auto"/>
        <w:tabs>
          <w:tab w:val="right" w:pos="9345" w:leader="dot"/>
        </w:tabs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TOC \o "1-3" \h \z \u </w:instrText>
      </w:r>
      <w:r>
        <w:rPr>
          <w:sz w:val="28"/>
          <w:szCs w:val="28"/>
        </w:rPr>
        <w:fldChar w:fldCharType="separate"/>
      </w:r>
      <w:hyperlink w:tooltip="#_Toc1405683" w:anchor="_Toc1405683" w:history="1">
        <w:r>
          <w:rPr>
            <w:rStyle w:val="816"/>
            <w:sz w:val="28"/>
            <w:szCs w:val="28"/>
          </w:rPr>
          <w:t xml:space="preserve">1. </w:t>
        </w:r>
        <w:r>
          <w:rPr>
            <w:rStyle w:val="816"/>
            <w:rFonts w:eastAsia="FranklinGothicMedium,Bold"/>
            <w:sz w:val="28"/>
            <w:szCs w:val="28"/>
          </w:rPr>
          <w:t xml:space="preserve">ОБЩИЕ ПОЛОЖЕНИЯ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t xml:space="preserve">4</w:t>
        </w:r>
      </w:hyperlink>
      <w:r/>
      <w:r>
        <w:rPr>
          <w:sz w:val="28"/>
          <w:szCs w:val="28"/>
        </w:rPr>
      </w:r>
    </w:p>
    <w:p>
      <w:pPr>
        <w:pStyle w:val="824"/>
        <w:ind w:firstLine="709"/>
        <w:jc w:val="both"/>
        <w:spacing w:line="360" w:lineRule="auto"/>
        <w:tabs>
          <w:tab w:val="right" w:pos="9345" w:leader="dot"/>
        </w:tabs>
        <w:rPr>
          <w:sz w:val="28"/>
          <w:szCs w:val="28"/>
        </w:rPr>
      </w:pPr>
      <w:r/>
      <w:hyperlink w:tooltip="#_Toc1405684" w:anchor="_Toc1405684" w:history="1">
        <w:r>
          <w:rPr>
            <w:rStyle w:val="816"/>
            <w:sz w:val="28"/>
            <w:szCs w:val="28"/>
          </w:rPr>
          <w:t xml:space="preserve">2. ВЫБОР ТЕМЫ КУРСОВОЙ РАБОТЫ И ПОДБОР ИСПОЛЬЗУЕМЫХ ИСТОЧНИКОВ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t xml:space="preserve">5</w:t>
        </w:r>
      </w:hyperlink>
      <w:r/>
      <w:r>
        <w:rPr>
          <w:sz w:val="28"/>
          <w:szCs w:val="28"/>
        </w:rPr>
      </w:r>
    </w:p>
    <w:p>
      <w:pPr>
        <w:pStyle w:val="824"/>
        <w:ind w:firstLine="709"/>
        <w:jc w:val="both"/>
        <w:spacing w:line="360" w:lineRule="auto"/>
        <w:tabs>
          <w:tab w:val="right" w:pos="9345" w:leader="dot"/>
        </w:tabs>
        <w:rPr>
          <w:sz w:val="28"/>
          <w:szCs w:val="28"/>
        </w:rPr>
      </w:pPr>
      <w:r/>
      <w:hyperlink w:tooltip="#_Toc1405685" w:anchor="_Toc1405685" w:history="1">
        <w:r>
          <w:rPr>
            <w:rStyle w:val="816"/>
            <w:sz w:val="28"/>
            <w:szCs w:val="28"/>
          </w:rPr>
          <w:t xml:space="preserve">3. СТРУКТУРА КУРСОВОЙ РАБОТЫ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t xml:space="preserve">6</w:t>
        </w:r>
      </w:hyperlink>
      <w:r/>
      <w:r>
        <w:rPr>
          <w:sz w:val="28"/>
          <w:szCs w:val="28"/>
        </w:rPr>
      </w:r>
    </w:p>
    <w:p>
      <w:pPr>
        <w:pStyle w:val="824"/>
        <w:ind w:firstLine="709"/>
        <w:jc w:val="both"/>
        <w:spacing w:line="360" w:lineRule="auto"/>
        <w:tabs>
          <w:tab w:val="right" w:pos="9345" w:leader="dot"/>
        </w:tabs>
        <w:rPr>
          <w:sz w:val="28"/>
          <w:szCs w:val="28"/>
        </w:rPr>
      </w:pPr>
      <w:r/>
      <w:hyperlink w:tooltip="#_Toc1405686" w:anchor="_Toc1405686" w:history="1">
        <w:r>
          <w:rPr>
            <w:rStyle w:val="816"/>
            <w:sz w:val="28"/>
            <w:szCs w:val="28"/>
          </w:rPr>
          <w:t xml:space="preserve">4. ТРЕБОВАНИЯ К ОФОРМЛЕНИЮ КУРСОВОЙ РАБОТЫ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t xml:space="preserve">9</w:t>
        </w:r>
      </w:hyperlink>
      <w:r/>
      <w:r>
        <w:rPr>
          <w:sz w:val="28"/>
          <w:szCs w:val="28"/>
        </w:rPr>
      </w:r>
    </w:p>
    <w:p>
      <w:pPr>
        <w:pStyle w:val="824"/>
        <w:ind w:firstLine="709"/>
        <w:jc w:val="both"/>
        <w:spacing w:line="360" w:lineRule="auto"/>
        <w:tabs>
          <w:tab w:val="right" w:pos="9345" w:leader="dot"/>
        </w:tabs>
        <w:rPr>
          <w:sz w:val="28"/>
          <w:szCs w:val="28"/>
        </w:rPr>
      </w:pPr>
      <w:r/>
      <w:hyperlink w:tooltip="#_Toc1405687" w:anchor="_Toc1405687" w:history="1">
        <w:r>
          <w:rPr>
            <w:rStyle w:val="816"/>
            <w:sz w:val="28"/>
            <w:szCs w:val="28"/>
          </w:rPr>
          <w:t xml:space="preserve">5. </w:t>
        </w:r>
        <w:r>
          <w:rPr>
            <w:rStyle w:val="816"/>
            <w:rFonts w:eastAsia="FranklinGothicMedium,Bold"/>
            <w:sz w:val="28"/>
            <w:szCs w:val="28"/>
          </w:rPr>
          <w:t xml:space="preserve">ПОРЯДОК АТТЕСТАЦИИ И ЗАЩИТЫ КУРСОВОЙ РАБОТЫ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_Toc1405687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1</w:t>
        </w:r>
        <w:r>
          <w:rPr>
            <w:sz w:val="28"/>
            <w:szCs w:val="28"/>
          </w:rPr>
          <w:t xml:space="preserve">3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pStyle w:val="824"/>
        <w:ind w:firstLine="709"/>
        <w:jc w:val="both"/>
        <w:spacing w:line="360" w:lineRule="auto"/>
        <w:tabs>
          <w:tab w:val="right" w:pos="9345" w:leader="dot"/>
        </w:tabs>
        <w:rPr>
          <w:sz w:val="28"/>
          <w:szCs w:val="28"/>
        </w:rPr>
      </w:pPr>
      <w:r/>
      <w:hyperlink w:tooltip="#_Toc1405688" w:anchor="_Toc1405688" w:history="1">
        <w:r>
          <w:rPr>
            <w:rStyle w:val="816"/>
            <w:sz w:val="28"/>
            <w:szCs w:val="28"/>
          </w:rPr>
          <w:t xml:space="preserve">6. ПРИЛОЖЕНИЯ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_Toc1405688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16</w:t>
        </w:r>
        <w:r>
          <w:rPr>
            <w:sz w:val="28"/>
            <w:szCs w:val="28"/>
          </w:rPr>
          <w:fldChar w:fldCharType="end"/>
        </w:r>
      </w:hyperlink>
      <w:r/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fldChar w:fldCharType="end"/>
      </w:r>
      <w:r>
        <w:rPr>
          <w:sz w:val="28"/>
          <w:szCs w:val="28"/>
        </w:rPr>
      </w:r>
    </w:p>
    <w:p>
      <w:pPr>
        <w:rPr>
          <w:rFonts w:eastAsia="FranklinGothicMedium,Bold"/>
          <w:b/>
          <w:bCs/>
          <w:sz w:val="28"/>
          <w:szCs w:val="28"/>
        </w:rPr>
      </w:pPr>
      <w:r>
        <w:rPr>
          <w:rFonts w:eastAsia="FranklinGothicMedium,Bold"/>
          <w:b/>
          <w:bCs/>
          <w:sz w:val="28"/>
          <w:szCs w:val="28"/>
        </w:rPr>
      </w:r>
      <w:r>
        <w:rPr>
          <w:rFonts w:eastAsia="FranklinGothicMedium,Bold"/>
          <w:b/>
          <w:bCs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01"/>
        <w:jc w:val="center"/>
        <w:rPr>
          <w:rFonts w:ascii="Times New Roman" w:hAnsi="Times New Roman"/>
          <w:color w:val="000000"/>
          <w:sz w:val="28"/>
          <w:szCs w:val="28"/>
        </w:rPr>
      </w:pPr>
      <w:r/>
      <w:bookmarkStart w:id="1" w:name="_Toc1405683"/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 w:eastAsia="FranklinGothicMedium,Bold"/>
          <w:bCs w:val="0"/>
          <w:color w:val="000000"/>
          <w:sz w:val="28"/>
          <w:szCs w:val="28"/>
        </w:rPr>
        <w:t xml:space="preserve">ОБЩИЕ ПОЛОЖЕНИЯ</w:t>
      </w:r>
      <w:bookmarkEnd w:id="1"/>
      <w:r/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814"/>
      </w:pPr>
      <w:r/>
      <w:r/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Курсовая работа является важным элементом учебного процесса и </w:t>
      </w:r>
      <w:r>
        <w:rPr>
          <w:color w:val="000000"/>
          <w:sz w:val="28"/>
          <w:szCs w:val="28"/>
        </w:rPr>
        <w:t xml:space="preserve">представляет собой итоговый предэкзамен</w:t>
      </w:r>
      <w:r>
        <w:rPr>
          <w:color w:val="000000"/>
          <w:sz w:val="28"/>
          <w:szCs w:val="28"/>
        </w:rPr>
        <w:t xml:space="preserve">ационный этап в изучении </w:t>
      </w:r>
      <w:r>
        <w:rPr>
          <w:color w:val="000000"/>
          <w:sz w:val="28"/>
          <w:szCs w:val="28"/>
        </w:rPr>
        <w:t xml:space="preserve">дисциплины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Она п</w:t>
      </w:r>
      <w:r>
        <w:rPr>
          <w:rFonts w:eastAsia="TimesNewRoman"/>
          <w:color w:val="000000"/>
          <w:sz w:val="28"/>
          <w:szCs w:val="28"/>
        </w:rPr>
        <w:t xml:space="preserve">редставляет собой логически завершенное и оформленное в виде </w:t>
      </w:r>
      <w:r>
        <w:rPr>
          <w:rFonts w:eastAsia="TimesNewRoman"/>
          <w:color w:val="000000"/>
          <w:sz w:val="28"/>
          <w:szCs w:val="28"/>
        </w:rPr>
        <w:t xml:space="preserve">печатного </w:t>
      </w:r>
      <w:r>
        <w:rPr>
          <w:rFonts w:eastAsia="TimesNewRoman"/>
          <w:color w:val="000000"/>
          <w:sz w:val="28"/>
          <w:szCs w:val="28"/>
        </w:rPr>
        <w:t xml:space="preserve">текста изложение студентом содержания отдельных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проблем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задач и методов их решения </w:t>
      </w:r>
      <w:r>
        <w:rPr>
          <w:rFonts w:eastAsia="TimesNewRoman"/>
          <w:color w:val="000000"/>
          <w:sz w:val="28"/>
          <w:szCs w:val="28"/>
        </w:rPr>
        <w:t xml:space="preserve">по проблематике пройденн</w:t>
      </w:r>
      <w:r>
        <w:rPr>
          <w:rFonts w:eastAsia="TimesNewRoman"/>
          <w:color w:val="000000"/>
          <w:sz w:val="28"/>
          <w:szCs w:val="28"/>
        </w:rPr>
        <w:t xml:space="preserve">ого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курса</w:t>
      </w:r>
      <w:r>
        <w:rPr>
          <w:rFonts w:eastAsia="TimesNewRoman"/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Значение курсовой работы заключается в том, что студент </w:t>
      </w:r>
      <w:r>
        <w:rPr>
          <w:rFonts w:eastAsia="TimesNewRoman"/>
          <w:color w:val="000000"/>
          <w:sz w:val="28"/>
          <w:szCs w:val="28"/>
        </w:rPr>
        <w:t xml:space="preserve">самостоятельн</w:t>
      </w:r>
      <w:r>
        <w:rPr>
          <w:rFonts w:eastAsia="TimesNewRoman"/>
          <w:color w:val="000000"/>
          <w:sz w:val="28"/>
          <w:szCs w:val="28"/>
        </w:rPr>
        <w:t xml:space="preserve">о выполняя данное исследование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разви</w:t>
      </w:r>
      <w:r>
        <w:rPr>
          <w:rFonts w:eastAsia="TimesNewRoman"/>
          <w:color w:val="000000"/>
          <w:sz w:val="28"/>
          <w:szCs w:val="28"/>
        </w:rPr>
        <w:t xml:space="preserve">ва</w:t>
      </w:r>
      <w:r>
        <w:rPr>
          <w:rFonts w:eastAsia="TimesNewRoman"/>
          <w:color w:val="000000"/>
          <w:sz w:val="28"/>
          <w:szCs w:val="28"/>
        </w:rPr>
        <w:t xml:space="preserve">ет</w:t>
      </w:r>
      <w:r>
        <w:rPr>
          <w:rFonts w:eastAsia="TimesNewRoman"/>
          <w:color w:val="000000"/>
          <w:sz w:val="28"/>
          <w:szCs w:val="28"/>
        </w:rPr>
        <w:t xml:space="preserve"> тем самым навыки</w:t>
      </w:r>
      <w:r>
        <w:rPr>
          <w:rFonts w:eastAsia="TimesNewRoman"/>
          <w:color w:val="000000"/>
          <w:sz w:val="28"/>
          <w:szCs w:val="28"/>
        </w:rPr>
        <w:t xml:space="preserve"> творческой деятельности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овладе</w:t>
      </w:r>
      <w:r>
        <w:rPr>
          <w:rFonts w:eastAsia="TimesNewRoman"/>
          <w:color w:val="000000"/>
          <w:sz w:val="28"/>
          <w:szCs w:val="28"/>
        </w:rPr>
        <w:t xml:space="preserve">вает</w:t>
      </w:r>
      <w:r>
        <w:rPr>
          <w:rFonts w:eastAsia="TimesNewRoman"/>
          <w:color w:val="000000"/>
          <w:sz w:val="28"/>
          <w:szCs w:val="28"/>
        </w:rPr>
        <w:t xml:space="preserve"> методами современных научных исследований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углублен</w:t>
      </w:r>
      <w:r>
        <w:rPr>
          <w:rFonts w:eastAsia="TimesNewRoman"/>
          <w:color w:val="000000"/>
          <w:sz w:val="28"/>
          <w:szCs w:val="28"/>
        </w:rPr>
        <w:t xml:space="preserve">о</w:t>
      </w:r>
      <w:r>
        <w:rPr>
          <w:rFonts w:eastAsia="TimesNewRoman"/>
          <w:color w:val="000000"/>
          <w:sz w:val="28"/>
          <w:szCs w:val="28"/>
        </w:rPr>
        <w:t xml:space="preserve"> изуч</w:t>
      </w:r>
      <w:r>
        <w:rPr>
          <w:rFonts w:eastAsia="TimesNewRoman"/>
          <w:color w:val="000000"/>
          <w:sz w:val="28"/>
          <w:szCs w:val="28"/>
        </w:rPr>
        <w:t xml:space="preserve">ает</w:t>
      </w:r>
      <w:r>
        <w:rPr>
          <w:rFonts w:eastAsia="TimesNewRoman"/>
          <w:color w:val="000000"/>
          <w:sz w:val="28"/>
          <w:szCs w:val="28"/>
        </w:rPr>
        <w:t xml:space="preserve"> вопрос</w:t>
      </w:r>
      <w:r>
        <w:rPr>
          <w:rFonts w:eastAsia="TimesNewRoman"/>
          <w:color w:val="000000"/>
          <w:sz w:val="28"/>
          <w:szCs w:val="28"/>
        </w:rPr>
        <w:t xml:space="preserve">ы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темы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раздел</w:t>
      </w:r>
      <w:r>
        <w:rPr>
          <w:rFonts w:eastAsia="TimesNewRoman"/>
          <w:color w:val="000000"/>
          <w:sz w:val="28"/>
          <w:szCs w:val="28"/>
        </w:rPr>
        <w:t xml:space="preserve">ы</w:t>
      </w:r>
      <w:r>
        <w:rPr>
          <w:rFonts w:eastAsia="TimesNewRoman"/>
          <w:color w:val="000000"/>
          <w:sz w:val="28"/>
          <w:szCs w:val="28"/>
        </w:rPr>
        <w:t xml:space="preserve"> учебной дисциплины</w:t>
      </w:r>
      <w:r>
        <w:rPr>
          <w:color w:val="000000"/>
          <w:sz w:val="28"/>
          <w:szCs w:val="28"/>
        </w:rPr>
        <w:t xml:space="preserve"> и формирует необходимые компетенции для освоения образовательной программы. Перечень компетенций отражен в рабочей программе дисциплины.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Курсовая работа дает студенту возможность углубить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систематизировать и закрепить теоретические и практические знания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приобщиться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к кругу проблем </w:t>
      </w:r>
      <w:r>
        <w:rPr>
          <w:rFonts w:eastAsia="TimesNewRoman"/>
          <w:color w:val="000000"/>
          <w:sz w:val="28"/>
          <w:szCs w:val="28"/>
        </w:rPr>
        <w:t xml:space="preserve">будущей</w:t>
      </w:r>
      <w:r>
        <w:rPr>
          <w:rFonts w:eastAsia="TimesNewRoman"/>
          <w:color w:val="000000"/>
          <w:sz w:val="28"/>
          <w:szCs w:val="28"/>
        </w:rPr>
        <w:t xml:space="preserve"> профессиональной деятельности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приобрести навыки творческого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поиска и обработки информации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систематизированного изложения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материала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работы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с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нормативными </w:t>
      </w:r>
      <w:r>
        <w:rPr>
          <w:color w:val="000000"/>
          <w:sz w:val="28"/>
          <w:szCs w:val="28"/>
        </w:rPr>
        <w:t xml:space="preserve">актами, </w:t>
      </w:r>
      <w:r>
        <w:rPr>
          <w:rFonts w:eastAsia="TimesNewRoman"/>
          <w:color w:val="000000"/>
          <w:sz w:val="28"/>
          <w:szCs w:val="28"/>
        </w:rPr>
        <w:t xml:space="preserve">статистическими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материалами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литературой</w:t>
      </w:r>
      <w:r>
        <w:rPr>
          <w:rFonts w:eastAsia="TimesNewRoman"/>
          <w:color w:val="000000"/>
          <w:sz w:val="28"/>
          <w:szCs w:val="28"/>
        </w:rPr>
        <w:t xml:space="preserve">,</w:t>
      </w:r>
      <w:r>
        <w:rPr>
          <w:rFonts w:eastAsia="TimesNewRoman"/>
          <w:color w:val="000000"/>
          <w:sz w:val="28"/>
          <w:szCs w:val="28"/>
        </w:rPr>
        <w:t xml:space="preserve"> справочным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библиографическим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и иным </w:t>
      </w:r>
      <w:r>
        <w:rPr>
          <w:rFonts w:eastAsia="TimesNewRoman"/>
          <w:color w:val="000000"/>
          <w:sz w:val="28"/>
          <w:szCs w:val="28"/>
        </w:rPr>
        <w:t xml:space="preserve">материалом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И</w:t>
      </w:r>
      <w:r>
        <w:rPr>
          <w:rFonts w:eastAsia="TimesNewRoman"/>
          <w:color w:val="000000"/>
          <w:sz w:val="28"/>
          <w:szCs w:val="28"/>
        </w:rPr>
        <w:t xml:space="preserve">нтернет</w:t>
      </w:r>
      <w:r>
        <w:rPr>
          <w:color w:val="000000"/>
          <w:sz w:val="28"/>
          <w:szCs w:val="28"/>
        </w:rPr>
        <w:t xml:space="preserve">-</w:t>
      </w:r>
      <w:r>
        <w:rPr>
          <w:rFonts w:eastAsia="TimesNewRoman"/>
          <w:color w:val="000000"/>
          <w:sz w:val="28"/>
          <w:szCs w:val="28"/>
        </w:rPr>
        <w:t xml:space="preserve">ресурсами</w:t>
      </w:r>
      <w:r>
        <w:rPr>
          <w:color w:val="000000"/>
          <w:sz w:val="28"/>
          <w:szCs w:val="28"/>
        </w:rPr>
        <w:t xml:space="preserve"> по теме исследования.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</w:t>
      </w:r>
      <w:r>
        <w:rPr>
          <w:b/>
          <w:bCs/>
          <w:color w:val="000000"/>
          <w:sz w:val="28"/>
          <w:szCs w:val="28"/>
        </w:rPr>
        <w:t xml:space="preserve">ь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курсовой работы </w:t>
      </w:r>
      <w:r>
        <w:rPr>
          <w:bCs/>
          <w:color w:val="000000"/>
          <w:sz w:val="28"/>
          <w:szCs w:val="28"/>
        </w:rPr>
        <w:t xml:space="preserve">заключа</w:t>
      </w:r>
      <w:r>
        <w:rPr>
          <w:bCs/>
          <w:color w:val="000000"/>
          <w:sz w:val="28"/>
          <w:szCs w:val="28"/>
        </w:rPr>
        <w:t xml:space="preserve">е</w:t>
      </w:r>
      <w:r>
        <w:rPr>
          <w:bCs/>
          <w:color w:val="000000"/>
          <w:sz w:val="28"/>
          <w:szCs w:val="28"/>
        </w:rPr>
        <w:t xml:space="preserve">тся</w:t>
      </w:r>
      <w:r>
        <w:rPr>
          <w:bCs/>
          <w:color w:val="000000"/>
          <w:sz w:val="28"/>
          <w:szCs w:val="28"/>
        </w:rPr>
        <w:t xml:space="preserve"> в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овладении методами аналитической и научно-исследовательской деятельности и формировании у студентов навыков самостоятельного научного исследования и творческого решения поставленных задач</w:t>
      </w:r>
      <w:r>
        <w:rPr>
          <w:bCs/>
          <w:color w:val="000000"/>
          <w:sz w:val="28"/>
          <w:szCs w:val="28"/>
        </w:rPr>
        <w:t xml:space="preserve"> в области профессиональной деятельности.</w:t>
      </w:r>
      <w:r>
        <w:rPr>
          <w:bCs/>
          <w:color w:val="000000"/>
          <w:sz w:val="28"/>
          <w:szCs w:val="28"/>
        </w:rPr>
      </w:r>
    </w:p>
    <w:p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Задачи курсовой работы:</w:t>
      </w:r>
      <w:r>
        <w:rPr>
          <w:bCs/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="TimesNewRoman"/>
          <w:color w:val="000000"/>
          <w:sz w:val="28"/>
          <w:szCs w:val="28"/>
        </w:rPr>
        <w:t xml:space="preserve">систематизации и углублении теоретических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и практических знаний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="TimesNewRoman"/>
          <w:color w:val="000000"/>
          <w:sz w:val="28"/>
          <w:szCs w:val="28"/>
        </w:rPr>
        <w:t xml:space="preserve">приобретении навыков самостоятельной работы с различными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источниками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документами</w:t>
      </w:r>
      <w:r>
        <w:rPr>
          <w:color w:val="000000"/>
          <w:sz w:val="28"/>
          <w:szCs w:val="28"/>
        </w:rPr>
        <w:t xml:space="preserve"> и материалами;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приобретение навыков творческого мышления, обобщения и анализа;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="TimesNewRoman"/>
          <w:color w:val="000000"/>
          <w:sz w:val="28"/>
          <w:szCs w:val="28"/>
        </w:rPr>
        <w:t xml:space="preserve">овладени</w:t>
      </w:r>
      <w:r>
        <w:rPr>
          <w:rFonts w:eastAsia="TimesNewRoman"/>
          <w:color w:val="000000"/>
          <w:sz w:val="28"/>
          <w:szCs w:val="28"/>
        </w:rPr>
        <w:t xml:space="preserve">е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методами исследовани</w:t>
      </w:r>
      <w:r>
        <w:rPr>
          <w:rFonts w:eastAsia="TimesNewRoman"/>
          <w:color w:val="000000"/>
          <w:sz w:val="28"/>
          <w:szCs w:val="28"/>
        </w:rPr>
        <w:t xml:space="preserve">я</w:t>
      </w:r>
      <w:r>
        <w:rPr>
          <w:rFonts w:eastAsia="TimesNewRoman"/>
          <w:color w:val="000000"/>
          <w:sz w:val="28"/>
          <w:szCs w:val="28"/>
        </w:rPr>
        <w:t xml:space="preserve"> современных процессов</w:t>
      </w:r>
      <w:r>
        <w:rPr>
          <w:rFonts w:eastAsia="TimesNewRoman"/>
          <w:color w:val="000000"/>
          <w:sz w:val="28"/>
          <w:szCs w:val="28"/>
        </w:rPr>
        <w:t xml:space="preserve"> в области профессиональной деятельности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="TimesNewRoman"/>
          <w:color w:val="000000"/>
          <w:sz w:val="28"/>
          <w:szCs w:val="28"/>
        </w:rPr>
        <w:t xml:space="preserve">умении выявлять проблемы и находить способы их решения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Вопросы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рассматриваемые в курсовой работе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основываются на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="TimesNewRoman"/>
          <w:color w:val="000000"/>
          <w:sz w:val="28"/>
          <w:szCs w:val="28"/>
        </w:rPr>
        <w:t xml:space="preserve">существующей законодательной базе </w:t>
      </w:r>
      <w:r>
        <w:rPr>
          <w:rFonts w:eastAsia="TimesNewRoman"/>
          <w:color w:val="000000"/>
          <w:sz w:val="28"/>
          <w:szCs w:val="28"/>
        </w:rPr>
        <w:t xml:space="preserve">Российской Федерации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="TimesNewRoman"/>
          <w:color w:val="000000"/>
          <w:sz w:val="28"/>
          <w:szCs w:val="28"/>
        </w:rPr>
        <w:t xml:space="preserve">обобщении отечественного и зарубежного опыта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анализе статистического (при необходимости) и фактического материала по выбранной проблематике и увязке его с социально-экономическими процессами;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="TimesNewRoman"/>
          <w:color w:val="000000"/>
          <w:sz w:val="28"/>
          <w:szCs w:val="28"/>
        </w:rPr>
        <w:t xml:space="preserve">формировании точки зрения автора по рассматриваемым проблемам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В ходе написания курсовой работы студент должен показать умение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использовать общетеоретические и специальные знания по выбранной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проблематике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С</w:t>
      </w:r>
      <w:r>
        <w:rPr>
          <w:rFonts w:eastAsia="TimesNewRoman"/>
          <w:color w:val="000000"/>
          <w:sz w:val="28"/>
          <w:szCs w:val="28"/>
        </w:rPr>
        <w:t xml:space="preserve">обранный </w:t>
      </w:r>
      <w:r>
        <w:rPr>
          <w:rFonts w:eastAsia="TimesNewRoman"/>
          <w:color w:val="000000"/>
          <w:sz w:val="28"/>
          <w:szCs w:val="28"/>
        </w:rPr>
        <w:t xml:space="preserve">в процессе написания курсовой работы </w:t>
      </w:r>
      <w:r>
        <w:rPr>
          <w:rFonts w:eastAsia="TimesNewRoman"/>
          <w:color w:val="000000"/>
          <w:sz w:val="28"/>
          <w:szCs w:val="28"/>
        </w:rPr>
        <w:t xml:space="preserve">материал и </w:t>
      </w:r>
      <w:r>
        <w:rPr>
          <w:rFonts w:eastAsia="TimesNewRoman"/>
          <w:color w:val="000000"/>
          <w:sz w:val="28"/>
          <w:szCs w:val="28"/>
        </w:rPr>
        <w:t xml:space="preserve">полученные результаты </w:t>
      </w:r>
      <w:r>
        <w:rPr>
          <w:rFonts w:eastAsia="TimesNewRoman"/>
          <w:color w:val="000000"/>
          <w:sz w:val="28"/>
          <w:szCs w:val="28"/>
        </w:rPr>
        <w:t xml:space="preserve">рекомендуется </w:t>
      </w:r>
      <w:r>
        <w:rPr>
          <w:rFonts w:eastAsia="TimesNewRoman"/>
          <w:color w:val="000000"/>
          <w:sz w:val="28"/>
          <w:szCs w:val="28"/>
        </w:rPr>
        <w:t xml:space="preserve">использова</w:t>
      </w:r>
      <w:r>
        <w:rPr>
          <w:rFonts w:eastAsia="TimesNewRoman"/>
          <w:color w:val="000000"/>
          <w:sz w:val="28"/>
          <w:szCs w:val="28"/>
        </w:rPr>
        <w:t xml:space="preserve">ть</w:t>
      </w:r>
      <w:r>
        <w:rPr>
          <w:rFonts w:eastAsia="TimesNewRoman"/>
          <w:color w:val="000000"/>
          <w:sz w:val="28"/>
          <w:szCs w:val="28"/>
        </w:rPr>
        <w:t xml:space="preserve"> при подготовке </w:t>
      </w:r>
      <w:r>
        <w:rPr>
          <w:rFonts w:eastAsia="TimesNewRoman"/>
          <w:color w:val="000000"/>
          <w:sz w:val="28"/>
          <w:szCs w:val="28"/>
        </w:rPr>
        <w:t xml:space="preserve">выпускной квалификационной</w:t>
      </w:r>
      <w:r>
        <w:rPr>
          <w:rFonts w:eastAsia="TimesNewRoman"/>
          <w:color w:val="000000"/>
          <w:sz w:val="28"/>
          <w:szCs w:val="28"/>
        </w:rPr>
        <w:t xml:space="preserve"> работы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01"/>
        <w:ind w:firstLine="709"/>
        <w:jc w:val="center"/>
        <w:spacing w:before="0" w:after="0"/>
        <w:rPr>
          <w:rFonts w:ascii="Times New Roman" w:hAnsi="Times New Roman"/>
          <w:color w:val="000000"/>
          <w:sz w:val="28"/>
          <w:szCs w:val="28"/>
        </w:rPr>
      </w:pPr>
      <w:r/>
      <w:bookmarkStart w:id="2" w:name="_Toc1405684"/>
      <w:r>
        <w:rPr>
          <w:rFonts w:ascii="Times New Roman" w:hAnsi="Times New Roman"/>
          <w:color w:val="000000"/>
          <w:sz w:val="28"/>
          <w:szCs w:val="28"/>
        </w:rPr>
        <w:t xml:space="preserve">2. ВЫБОР ТЕМЫ КУРСОВОЙ РАБОТЫ</w:t>
      </w:r>
      <w:r>
        <w:rPr>
          <w:rFonts w:ascii="Times New Roman" w:hAnsi="Times New Roman"/>
          <w:color w:val="000000"/>
          <w:sz w:val="28"/>
          <w:szCs w:val="28"/>
        </w:rPr>
        <w:t xml:space="preserve"> И ПОДБОР </w:t>
      </w:r>
      <w:r>
        <w:rPr>
          <w:rFonts w:ascii="Times New Roman" w:hAnsi="Times New Roman"/>
          <w:color w:val="000000"/>
          <w:sz w:val="28"/>
          <w:szCs w:val="28"/>
        </w:rPr>
        <w:t xml:space="preserve">ИСПОЛЬЗУЕМЫХ ИСТОЧНИКОВ</w:t>
      </w:r>
      <w:bookmarkEnd w:id="2"/>
      <w:r/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Тематика курсовых работ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требования к ним и рекомендации по их выполнению доводятся до сведения студентов в начале соответствующего семестра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Темы курсовых работ предлагаются студентам на выбор</w:t>
      </w:r>
      <w:r>
        <w:rPr>
          <w:rFonts w:eastAsia="TimesNewRoman"/>
          <w:color w:val="000000"/>
          <w:sz w:val="28"/>
          <w:szCs w:val="28"/>
        </w:rPr>
        <w:t xml:space="preserve"> (Приложение </w:t>
      </w:r>
      <w:r>
        <w:rPr>
          <w:rFonts w:eastAsia="TimesNewRoman"/>
          <w:color w:val="000000"/>
          <w:sz w:val="28"/>
          <w:szCs w:val="28"/>
        </w:rPr>
        <w:t xml:space="preserve">1</w:t>
      </w:r>
      <w:r>
        <w:rPr>
          <w:rFonts w:eastAsia="TimesNewRoman"/>
          <w:color w:val="000000"/>
          <w:sz w:val="28"/>
          <w:szCs w:val="28"/>
        </w:rPr>
        <w:t xml:space="preserve">)</w:t>
      </w:r>
      <w:r>
        <w:rPr>
          <w:rFonts w:eastAsia="TimesNewRoman"/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  <w:t xml:space="preserve"> Студент </w:t>
      </w:r>
      <w:r>
        <w:rPr>
          <w:rFonts w:eastAsia="TimesNewRoman"/>
          <w:color w:val="000000"/>
          <w:sz w:val="28"/>
          <w:szCs w:val="28"/>
        </w:rPr>
        <w:t xml:space="preserve">может</w:t>
      </w:r>
      <w:r>
        <w:rPr>
          <w:rFonts w:eastAsia="TimesNewRoman"/>
          <w:color w:val="000000"/>
          <w:sz w:val="28"/>
          <w:szCs w:val="28"/>
        </w:rPr>
        <w:t xml:space="preserve"> выбрать одну из заявленных кафедрой тем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Тема назначается по письменному заявлению студента (Приложение 2),</w:t>
      </w:r>
      <w:r>
        <w:rPr>
          <w:color w:val="000000"/>
          <w:sz w:val="28"/>
          <w:szCs w:val="28"/>
        </w:rPr>
        <w:t xml:space="preserve"> присла</w:t>
      </w:r>
      <w:r>
        <w:rPr>
          <w:color w:val="000000"/>
          <w:sz w:val="28"/>
          <w:szCs w:val="28"/>
        </w:rPr>
        <w:t xml:space="preserve">нному</w:t>
      </w:r>
      <w:r>
        <w:rPr>
          <w:color w:val="000000"/>
          <w:sz w:val="28"/>
          <w:szCs w:val="28"/>
        </w:rPr>
        <w:t xml:space="preserve"> через Центр поддержки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</w:t>
      </w:r>
      <w:r>
        <w:rPr>
          <w:color w:val="000000"/>
          <w:sz w:val="28"/>
          <w:szCs w:val="28"/>
        </w:rPr>
        <w:t xml:space="preserve">скан-копи</w:t>
      </w:r>
      <w:r>
        <w:rPr>
          <w:color w:val="000000"/>
          <w:sz w:val="28"/>
          <w:szCs w:val="28"/>
        </w:rPr>
        <w:t xml:space="preserve">я</w:t>
      </w:r>
      <w:r>
        <w:rPr>
          <w:color w:val="000000"/>
          <w:sz w:val="28"/>
          <w:szCs w:val="28"/>
        </w:rPr>
        <w:t xml:space="preserve"> (</w:t>
      </w:r>
      <w:hyperlink r:id="rId13" w:tooltip="https://online.muiv.ru/hdesk/" w:history="1">
        <w:r>
          <w:rPr>
            <w:rStyle w:val="816"/>
            <w:sz w:val="28"/>
            <w:szCs w:val="28"/>
          </w:rPr>
          <w:t xml:space="preserve">https://online.muiv.ru/hdesk/</w:t>
        </w:r>
      </w:hyperlink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Заявление должно быть отправлено в течение </w:t>
      </w:r>
      <w:r>
        <w:rPr>
          <w:color w:val="000000"/>
          <w:sz w:val="28"/>
          <w:szCs w:val="28"/>
        </w:rPr>
        <w:t xml:space="preserve">трех </w:t>
      </w:r>
      <w:r>
        <w:rPr>
          <w:color w:val="000000"/>
          <w:sz w:val="28"/>
          <w:szCs w:val="28"/>
        </w:rPr>
        <w:t xml:space="preserve">недел</w:t>
      </w:r>
      <w:r>
        <w:rPr>
          <w:color w:val="000000"/>
          <w:sz w:val="28"/>
          <w:szCs w:val="28"/>
        </w:rPr>
        <w:t xml:space="preserve">ь </w:t>
      </w:r>
      <w:r>
        <w:rPr>
          <w:color w:val="000000"/>
          <w:sz w:val="28"/>
          <w:szCs w:val="28"/>
        </w:rPr>
        <w:t xml:space="preserve">после начала семестра.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</w:t>
      </w:r>
      <w:r>
        <w:rPr>
          <w:color w:val="000000"/>
          <w:sz w:val="28"/>
          <w:szCs w:val="28"/>
        </w:rPr>
        <w:t xml:space="preserve"> отсутствия заявления или не вовремя предоставленного заявления студенту назначается тема курсовой работы от кафедры.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Студент совместно с руководителем курсовой работы уточняет круг вопросов, подлежащих изучению, составляет план и определяет структуру работы. В плане должны быть предусмотрены вопросы теории и практики рассматриваемой области вопросов.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Н</w:t>
      </w:r>
      <w:r>
        <w:rPr>
          <w:rFonts w:eastAsia="TimesNewRoman"/>
          <w:color w:val="000000"/>
          <w:sz w:val="28"/>
          <w:szCs w:val="28"/>
        </w:rPr>
        <w:t xml:space="preserve">аписани</w:t>
      </w:r>
      <w:r>
        <w:rPr>
          <w:rFonts w:eastAsia="TimesNewRoman"/>
          <w:color w:val="000000"/>
          <w:sz w:val="28"/>
          <w:szCs w:val="28"/>
        </w:rPr>
        <w:t xml:space="preserve">е</w:t>
      </w:r>
      <w:r>
        <w:rPr>
          <w:rFonts w:eastAsia="TimesNewRoman"/>
          <w:color w:val="000000"/>
          <w:sz w:val="28"/>
          <w:szCs w:val="28"/>
        </w:rPr>
        <w:t xml:space="preserve"> курсовой работы во многом зависит от правильно</w:t>
      </w:r>
      <w:r>
        <w:rPr>
          <w:rFonts w:eastAsia="TimesNewRoman"/>
          <w:color w:val="000000"/>
          <w:sz w:val="28"/>
          <w:szCs w:val="28"/>
        </w:rPr>
        <w:t xml:space="preserve"> организованной</w:t>
      </w:r>
      <w:r>
        <w:rPr>
          <w:rFonts w:eastAsia="TimesNewRoman"/>
          <w:color w:val="000000"/>
          <w:sz w:val="28"/>
          <w:szCs w:val="28"/>
        </w:rPr>
        <w:t xml:space="preserve"> подготовки </w:t>
      </w:r>
      <w:r>
        <w:rPr>
          <w:rFonts w:eastAsia="TimesNewRoman"/>
          <w:color w:val="000000"/>
          <w:sz w:val="28"/>
          <w:szCs w:val="28"/>
        </w:rPr>
        <w:t xml:space="preserve">ее</w:t>
      </w:r>
      <w:r>
        <w:rPr>
          <w:rFonts w:eastAsia="TimesNewRoman"/>
          <w:color w:val="000000"/>
          <w:sz w:val="28"/>
          <w:szCs w:val="28"/>
        </w:rPr>
        <w:t xml:space="preserve"> выполнени</w:t>
      </w:r>
      <w:r>
        <w:rPr>
          <w:rFonts w:eastAsia="TimesNewRoman"/>
          <w:color w:val="000000"/>
          <w:sz w:val="28"/>
          <w:szCs w:val="28"/>
        </w:rPr>
        <w:t xml:space="preserve">я</w:t>
      </w:r>
      <w:r>
        <w:rPr>
          <w:rFonts w:eastAsia="TimesNewRoman"/>
          <w:color w:val="000000"/>
          <w:sz w:val="28"/>
          <w:szCs w:val="28"/>
        </w:rPr>
        <w:t xml:space="preserve">, которую можно условно разделить на следующие этапы.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  <w:t xml:space="preserve">1 этап</w:t>
      </w:r>
      <w:r>
        <w:rPr>
          <w:rFonts w:eastAsia="TimesNewRoman"/>
          <w:b/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Предусматривает </w:t>
      </w:r>
      <w:r>
        <w:rPr>
          <w:rFonts w:eastAsia="TimesNewRoman"/>
          <w:color w:val="000000"/>
          <w:sz w:val="28"/>
          <w:szCs w:val="28"/>
        </w:rPr>
        <w:t xml:space="preserve">осмысление темы и целевых установок, на </w:t>
      </w:r>
      <w:r>
        <w:rPr>
          <w:rFonts w:eastAsia="TimesNewRoman"/>
          <w:color w:val="000000"/>
          <w:sz w:val="28"/>
          <w:szCs w:val="28"/>
        </w:rPr>
        <w:t xml:space="preserve">о</w:t>
      </w:r>
      <w:r>
        <w:rPr>
          <w:rFonts w:eastAsia="TimesNewRoman"/>
          <w:color w:val="000000"/>
          <w:sz w:val="28"/>
          <w:szCs w:val="28"/>
        </w:rPr>
        <w:t xml:space="preserve">снове чего важно наметить главные вопросы, подлежащие рассмотрению, и их краткое содержание.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Выбирайте тему, о которой уже имеете представление. Не откладывайте изучение теории «на потом», т.к. сроки выполнения работы очень сжатые.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  <w:t xml:space="preserve">2 этап</w:t>
      </w:r>
      <w:r>
        <w:rPr>
          <w:rFonts w:eastAsia="TimesNewRoman"/>
          <w:b/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Включает </w:t>
      </w:r>
      <w:r>
        <w:rPr>
          <w:rFonts w:eastAsia="TimesNewRoman"/>
          <w:color w:val="000000"/>
          <w:sz w:val="28"/>
          <w:szCs w:val="28"/>
        </w:rPr>
        <w:t xml:space="preserve">подбор литературы по теме курсовой работы, работу с каталогами библиотек, </w:t>
      </w:r>
      <w:r>
        <w:rPr>
          <w:rFonts w:eastAsia="TimesNewRoman"/>
          <w:color w:val="000000"/>
          <w:sz w:val="28"/>
          <w:szCs w:val="28"/>
        </w:rPr>
        <w:t xml:space="preserve">библиографическими указателями, Интернет-ресурсами и т.п.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 выборе литературы </w:t>
      </w:r>
      <w:r>
        <w:rPr>
          <w:rFonts w:eastAsia="TimesNewRoman"/>
          <w:color w:val="000000"/>
          <w:sz w:val="28"/>
          <w:szCs w:val="28"/>
        </w:rPr>
        <w:t xml:space="preserve">необходимо </w:t>
      </w:r>
      <w:r>
        <w:rPr>
          <w:rFonts w:eastAsia="TimesNewRoman"/>
          <w:color w:val="000000"/>
          <w:sz w:val="28"/>
          <w:szCs w:val="28"/>
        </w:rPr>
        <w:t xml:space="preserve">придерживаться </w:t>
      </w:r>
      <w:r>
        <w:rPr>
          <w:rFonts w:eastAsia="TimesNewRoman"/>
          <w:color w:val="000000"/>
          <w:sz w:val="28"/>
          <w:szCs w:val="28"/>
        </w:rPr>
        <w:t xml:space="preserve">следующих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i/>
          <w:color w:val="000000"/>
          <w:sz w:val="28"/>
          <w:szCs w:val="28"/>
        </w:rPr>
        <w:t xml:space="preserve">правил: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обращать внимание на титульный лист и оглавление, затем ознакомиться с предисловием, введением, заключением книги. </w:t>
      </w:r>
      <w:r>
        <w:rPr>
          <w:rFonts w:eastAsia="TimesNewRoman"/>
          <w:color w:val="000000"/>
          <w:sz w:val="28"/>
          <w:szCs w:val="28"/>
        </w:rPr>
        <w:t xml:space="preserve">В о</w:t>
      </w:r>
      <w:r>
        <w:rPr>
          <w:rFonts w:eastAsia="TimesNewRoman"/>
          <w:color w:val="000000"/>
          <w:sz w:val="28"/>
          <w:szCs w:val="28"/>
        </w:rPr>
        <w:t xml:space="preserve">главлении важно отметить те разделы и параграфы, которые представляют </w:t>
      </w:r>
      <w:r>
        <w:rPr>
          <w:rFonts w:eastAsia="TimesNewRoman"/>
          <w:color w:val="000000"/>
          <w:sz w:val="28"/>
          <w:szCs w:val="28"/>
        </w:rPr>
        <w:t xml:space="preserve">непосредственный </w:t>
      </w:r>
      <w:r>
        <w:rPr>
          <w:rFonts w:eastAsia="TimesNewRoman"/>
          <w:color w:val="000000"/>
          <w:sz w:val="28"/>
          <w:szCs w:val="28"/>
        </w:rPr>
        <w:t xml:space="preserve">интерес для раскрытия темы. В предисловии можно найти ответы на такие вопросы, как цель написания книги, основные направления исследования, общий характер работы;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b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обращать внимание на год издания</w:t>
      </w:r>
      <w:r>
        <w:rPr>
          <w:rFonts w:eastAsia="TimesNewRoman"/>
          <w:color w:val="000000"/>
          <w:sz w:val="28"/>
          <w:szCs w:val="28"/>
        </w:rPr>
        <w:t xml:space="preserve"> литературы</w:t>
      </w:r>
      <w:r>
        <w:rPr>
          <w:rFonts w:eastAsia="TimesNewRoman"/>
          <w:color w:val="000000"/>
          <w:sz w:val="28"/>
          <w:szCs w:val="28"/>
        </w:rPr>
        <w:t xml:space="preserve">, т.к. требуется соблюсти условие </w:t>
      </w:r>
      <w:r>
        <w:rPr>
          <w:rFonts w:eastAsia="TimesNewRoman"/>
          <w:color w:val="000000"/>
          <w:sz w:val="28"/>
          <w:szCs w:val="28"/>
        </w:rPr>
        <w:t xml:space="preserve">актуальности </w:t>
      </w:r>
      <w:r>
        <w:rPr>
          <w:rFonts w:eastAsia="TimesNewRoman"/>
          <w:color w:val="000000"/>
          <w:sz w:val="28"/>
          <w:szCs w:val="28"/>
        </w:rPr>
        <w:t xml:space="preserve">при </w:t>
      </w:r>
      <w:r>
        <w:rPr>
          <w:rFonts w:eastAsia="TimesNewRoman"/>
          <w:color w:val="000000"/>
          <w:sz w:val="28"/>
          <w:szCs w:val="28"/>
        </w:rPr>
        <w:t xml:space="preserve">ее использовании.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b/>
          <w:color w:val="000000"/>
          <w:sz w:val="28"/>
          <w:szCs w:val="28"/>
        </w:rPr>
        <w:t xml:space="preserve">Актуальной </w:t>
      </w:r>
      <w:r>
        <w:rPr>
          <w:rFonts w:eastAsia="TimesNewRoman"/>
          <w:b/>
          <w:color w:val="000000"/>
          <w:sz w:val="28"/>
          <w:szCs w:val="28"/>
        </w:rPr>
        <w:t xml:space="preserve">считается литература (за исключением словарей</w:t>
      </w:r>
      <w:r>
        <w:rPr>
          <w:rFonts w:eastAsia="TimesNewRoman"/>
          <w:b/>
          <w:color w:val="000000"/>
          <w:sz w:val="28"/>
          <w:szCs w:val="28"/>
        </w:rPr>
        <w:t xml:space="preserve"> и фундаментальных первоисточников</w:t>
      </w:r>
      <w:r>
        <w:rPr>
          <w:rFonts w:eastAsia="TimesNewRoman"/>
          <w:b/>
          <w:color w:val="000000"/>
          <w:sz w:val="28"/>
          <w:szCs w:val="28"/>
        </w:rPr>
        <w:t xml:space="preserve">) сроком после выхода не более 5 лет;</w:t>
      </w:r>
      <w:r>
        <w:rPr>
          <w:rFonts w:eastAsia="TimesNewRoman"/>
          <w:b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целесообразно при ознакомлении делать выписки, обращая внимание на внешние признаки в тексте. Рекомендуется основные источники читать </w:t>
      </w:r>
      <w:r>
        <w:rPr>
          <w:rFonts w:eastAsia="TimesNewRoman"/>
          <w:color w:val="000000"/>
          <w:sz w:val="28"/>
          <w:szCs w:val="28"/>
        </w:rPr>
        <w:t xml:space="preserve">несколько раз</w:t>
      </w:r>
      <w:r>
        <w:rPr>
          <w:rFonts w:eastAsia="TimesNewRoman"/>
          <w:color w:val="000000"/>
          <w:sz w:val="28"/>
          <w:szCs w:val="28"/>
        </w:rPr>
        <w:t xml:space="preserve">. Первое чтение должно быть более глубоким, сплошным, а повторное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– просмотровым, выб</w:t>
      </w:r>
      <w:r>
        <w:rPr>
          <w:rFonts w:eastAsia="TimesNewRoman"/>
          <w:color w:val="000000"/>
          <w:sz w:val="28"/>
          <w:szCs w:val="28"/>
        </w:rPr>
        <w:t xml:space="preserve">орочным;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при использовани</w:t>
      </w:r>
      <w:r>
        <w:rPr>
          <w:rFonts w:eastAsia="TimesNewRoman"/>
          <w:color w:val="000000"/>
          <w:sz w:val="28"/>
          <w:szCs w:val="28"/>
        </w:rPr>
        <w:t xml:space="preserve">и</w:t>
      </w:r>
      <w:r>
        <w:rPr>
          <w:rFonts w:eastAsia="TimesNewRoman"/>
          <w:color w:val="000000"/>
          <w:sz w:val="28"/>
          <w:szCs w:val="28"/>
        </w:rPr>
        <w:t xml:space="preserve"> в курсовой работе </w:t>
      </w:r>
      <w:r>
        <w:rPr>
          <w:rFonts w:eastAsia="TimesNewRoman"/>
          <w:color w:val="000000"/>
          <w:sz w:val="28"/>
          <w:szCs w:val="28"/>
        </w:rPr>
        <w:t xml:space="preserve">разных источников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студенту</w:t>
      </w:r>
      <w:r>
        <w:rPr>
          <w:rFonts w:eastAsia="TimesNewRoman"/>
          <w:color w:val="000000"/>
          <w:sz w:val="28"/>
          <w:szCs w:val="28"/>
        </w:rPr>
        <w:t xml:space="preserve"> необходимо </w:t>
      </w:r>
      <w:r>
        <w:rPr>
          <w:rFonts w:eastAsia="TimesNewRoman"/>
          <w:color w:val="000000"/>
          <w:sz w:val="28"/>
          <w:szCs w:val="28"/>
        </w:rPr>
        <w:t xml:space="preserve">систематизировать полученную информацию и </w:t>
      </w:r>
      <w:r>
        <w:rPr>
          <w:rFonts w:eastAsia="TimesNewRoman"/>
          <w:color w:val="000000"/>
          <w:sz w:val="28"/>
          <w:szCs w:val="28"/>
        </w:rPr>
        <w:t xml:space="preserve">сформулировать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собственное</w:t>
      </w:r>
      <w:r>
        <w:rPr>
          <w:rFonts w:eastAsia="TimesNewRoman"/>
          <w:color w:val="000000"/>
          <w:sz w:val="28"/>
          <w:szCs w:val="28"/>
        </w:rPr>
        <w:t xml:space="preserve"> мнени</w:t>
      </w:r>
      <w:r>
        <w:rPr>
          <w:rFonts w:eastAsia="TimesNewRoman"/>
          <w:color w:val="000000"/>
          <w:sz w:val="28"/>
          <w:szCs w:val="28"/>
        </w:rPr>
        <w:t xml:space="preserve">е</w:t>
      </w:r>
      <w:r>
        <w:rPr>
          <w:rFonts w:eastAsia="TimesNewRoman"/>
          <w:color w:val="000000"/>
          <w:sz w:val="28"/>
          <w:szCs w:val="28"/>
        </w:rPr>
        <w:t xml:space="preserve"> по </w:t>
      </w:r>
      <w:r>
        <w:rPr>
          <w:rFonts w:eastAsia="TimesNewRoman"/>
          <w:color w:val="000000"/>
          <w:sz w:val="28"/>
          <w:szCs w:val="28"/>
        </w:rPr>
        <w:t xml:space="preserve">рассматриваемой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теме (вопросу, </w:t>
      </w:r>
      <w:r>
        <w:rPr>
          <w:rFonts w:eastAsia="TimesNewRoman"/>
          <w:color w:val="000000"/>
          <w:sz w:val="28"/>
          <w:szCs w:val="28"/>
        </w:rPr>
        <w:t xml:space="preserve">проблеме</w:t>
      </w:r>
      <w:r>
        <w:rPr>
          <w:rFonts w:eastAsia="TimesNewRoman"/>
          <w:color w:val="000000"/>
          <w:sz w:val="28"/>
          <w:szCs w:val="28"/>
        </w:rPr>
        <w:t xml:space="preserve">)</w:t>
      </w:r>
      <w:r>
        <w:rPr>
          <w:rFonts w:eastAsia="TimesNewRoman"/>
          <w:color w:val="000000"/>
          <w:sz w:val="28"/>
          <w:szCs w:val="28"/>
        </w:rPr>
        <w:t xml:space="preserve">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при написании курсовой работы следует активно использовать</w:t>
      </w:r>
      <w:r>
        <w:rPr>
          <w:rFonts w:eastAsia="TimesNewRoman"/>
          <w:color w:val="000000"/>
          <w:sz w:val="28"/>
          <w:szCs w:val="28"/>
        </w:rPr>
        <w:t xml:space="preserve">, научные статьи, опубликованные в ведущих изданиях,</w:t>
      </w:r>
      <w:r>
        <w:rPr>
          <w:rFonts w:eastAsia="TimesNewRoman"/>
          <w:color w:val="000000"/>
          <w:sz w:val="28"/>
          <w:szCs w:val="28"/>
        </w:rPr>
        <w:t xml:space="preserve"> официальные образова</w:t>
      </w:r>
      <w:r>
        <w:rPr>
          <w:rFonts w:eastAsia="TimesNewRoman"/>
          <w:color w:val="000000"/>
          <w:sz w:val="28"/>
          <w:szCs w:val="28"/>
        </w:rPr>
        <w:t xml:space="preserve">тельные Интернет-</w:t>
      </w:r>
      <w:r>
        <w:rPr>
          <w:rFonts w:eastAsia="TimesNewRoman"/>
          <w:color w:val="000000"/>
          <w:sz w:val="28"/>
          <w:szCs w:val="28"/>
        </w:rPr>
        <w:t xml:space="preserve">порталы, а также официальные </w:t>
      </w:r>
      <w:r>
        <w:rPr>
          <w:rFonts w:eastAsia="TimesNewRoman"/>
          <w:color w:val="000000"/>
          <w:sz w:val="28"/>
          <w:szCs w:val="28"/>
        </w:rPr>
        <w:t xml:space="preserve">сайты государственных органов, аналитических агентств и других организаций, являющихся источниками необходимой информации для раскрытия темы курсовой работы.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  <w:t xml:space="preserve">3 этап.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П</w:t>
      </w:r>
      <w:r>
        <w:rPr>
          <w:rFonts w:eastAsia="TimesNewRoman"/>
          <w:color w:val="000000"/>
          <w:sz w:val="28"/>
          <w:szCs w:val="28"/>
        </w:rPr>
        <w:t xml:space="preserve">осле глубокой проработки литературы составляется план курсовой работы, который нужен для логичного, системного изложения материала.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План включает перечень и последовательность основных вопросов (разделов), которые будут рассмотрены во введении, основной части и заключении. Следует помнить, что если мы выделяем главы в работе, то их перечень будет </w:t>
      </w:r>
      <w:r>
        <w:rPr>
          <w:rFonts w:eastAsia="TimesNewRoman"/>
          <w:color w:val="000000"/>
          <w:sz w:val="28"/>
          <w:szCs w:val="28"/>
        </w:rPr>
        <w:t xml:space="preserve">«</w:t>
      </w:r>
      <w:r>
        <w:rPr>
          <w:rFonts w:eastAsia="TimesNewRoman"/>
          <w:b/>
          <w:color w:val="000000"/>
          <w:sz w:val="28"/>
          <w:szCs w:val="28"/>
        </w:rPr>
        <w:t xml:space="preserve">Оглавление</w:t>
      </w:r>
      <w:r>
        <w:rPr>
          <w:rFonts w:eastAsia="TimesNewRoman"/>
          <w:color w:val="000000"/>
          <w:sz w:val="28"/>
          <w:szCs w:val="28"/>
        </w:rPr>
        <w:t xml:space="preserve">»</w:t>
      </w:r>
      <w:r>
        <w:rPr>
          <w:rFonts w:eastAsia="TimesNewRoman"/>
          <w:color w:val="000000"/>
          <w:sz w:val="28"/>
          <w:szCs w:val="28"/>
        </w:rPr>
        <w:t xml:space="preserve">, а если разделы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– то </w:t>
      </w:r>
      <w:r>
        <w:rPr>
          <w:rFonts w:eastAsia="TimesNewRoman"/>
          <w:color w:val="000000"/>
          <w:sz w:val="28"/>
          <w:szCs w:val="28"/>
        </w:rPr>
        <w:t xml:space="preserve">«</w:t>
      </w:r>
      <w:r>
        <w:rPr>
          <w:rFonts w:eastAsia="TimesNewRoman"/>
          <w:b/>
          <w:color w:val="000000"/>
          <w:sz w:val="28"/>
          <w:szCs w:val="28"/>
        </w:rPr>
        <w:t xml:space="preserve">Содержание</w:t>
      </w:r>
      <w:r>
        <w:rPr>
          <w:rFonts w:eastAsia="TimesNewRoman"/>
          <w:color w:val="000000"/>
          <w:sz w:val="28"/>
          <w:szCs w:val="28"/>
        </w:rPr>
        <w:t xml:space="preserve">»</w:t>
      </w:r>
      <w:r>
        <w:rPr>
          <w:rFonts w:eastAsia="TimesNewRoman"/>
          <w:color w:val="000000"/>
          <w:sz w:val="28"/>
          <w:szCs w:val="28"/>
        </w:rPr>
        <w:t xml:space="preserve">. После того, как работа с источниками завершена, необходимо проанализировать и систематизировать весь материал и расположить его согласно разработанному плану.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</w:r>
      <w:r>
        <w:rPr>
          <w:rFonts w:eastAsia="TimesNewRoman"/>
          <w:color w:val="000000"/>
          <w:sz w:val="28"/>
          <w:szCs w:val="28"/>
        </w:rPr>
      </w:r>
    </w:p>
    <w:p>
      <w:pPr>
        <w:pStyle w:val="801"/>
        <w:ind w:firstLine="709"/>
        <w:jc w:val="center"/>
        <w:spacing w:before="0" w:after="0"/>
        <w:rPr>
          <w:rFonts w:ascii="Times New Roman" w:hAnsi="Times New Roman"/>
          <w:color w:val="000000"/>
          <w:sz w:val="28"/>
          <w:szCs w:val="28"/>
        </w:rPr>
      </w:pPr>
      <w:r/>
      <w:bookmarkStart w:id="3" w:name="_Toc1405685"/>
      <w:r>
        <w:rPr>
          <w:rFonts w:ascii="Times New Roman" w:hAnsi="Times New Roman"/>
          <w:color w:val="000000"/>
          <w:sz w:val="28"/>
          <w:szCs w:val="28"/>
        </w:rPr>
        <w:t xml:space="preserve">3. СТРУКТУРА КУРСОВОЙ РАБОТЫ</w:t>
      </w:r>
      <w:bookmarkEnd w:id="3"/>
      <w:r/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bCs/>
          <w:iCs/>
          <w:color w:val="000000"/>
          <w:sz w:val="28"/>
          <w:szCs w:val="28"/>
        </w:rPr>
      </w:pPr>
      <w:r>
        <w:rPr>
          <w:rFonts w:eastAsia="TimesNewRoman"/>
          <w:bCs/>
          <w:iCs/>
          <w:color w:val="000000"/>
          <w:sz w:val="28"/>
          <w:szCs w:val="28"/>
        </w:rPr>
      </w:r>
      <w:r>
        <w:rPr>
          <w:rFonts w:eastAsia="TimesNewRoman"/>
          <w:bCs/>
          <w:iCs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Структура курсовой работы определяется ее исследовательскими задачами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т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каждый параграф в ней должен работать на решение одной задачи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Основная часть курсовой работы состоит из двух г</w:t>
      </w:r>
      <w:r>
        <w:rPr>
          <w:rFonts w:eastAsia="TimesNewRoman"/>
          <w:color w:val="000000"/>
          <w:sz w:val="28"/>
          <w:szCs w:val="28"/>
        </w:rPr>
        <w:t xml:space="preserve">лав: </w:t>
      </w:r>
      <w:r>
        <w:rPr>
          <w:rFonts w:eastAsia="TimesNewRoman"/>
          <w:color w:val="000000"/>
          <w:sz w:val="28"/>
          <w:szCs w:val="28"/>
        </w:rPr>
        <w:t xml:space="preserve">теоретической (</w:t>
      </w:r>
      <w:r>
        <w:rPr>
          <w:rFonts w:eastAsia="TimesNewRoman"/>
          <w:color w:val="000000"/>
          <w:sz w:val="28"/>
          <w:szCs w:val="28"/>
        </w:rPr>
        <w:t xml:space="preserve">теоретико-методологической</w:t>
      </w:r>
      <w:r>
        <w:rPr>
          <w:rFonts w:eastAsia="TimesNewRoman"/>
          <w:color w:val="000000"/>
          <w:sz w:val="28"/>
          <w:szCs w:val="28"/>
        </w:rPr>
        <w:t xml:space="preserve">)</w:t>
      </w:r>
      <w:r>
        <w:rPr>
          <w:rFonts w:eastAsia="TimesNewRoman"/>
          <w:color w:val="000000"/>
          <w:sz w:val="28"/>
          <w:szCs w:val="28"/>
        </w:rPr>
        <w:t xml:space="preserve"> и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исследовательской (</w:t>
      </w:r>
      <w:r>
        <w:rPr>
          <w:rFonts w:eastAsia="TimesNewRoman"/>
          <w:color w:val="000000"/>
          <w:sz w:val="28"/>
          <w:szCs w:val="28"/>
        </w:rPr>
        <w:t xml:space="preserve">аналитическо-практической</w:t>
      </w:r>
      <w:r>
        <w:rPr>
          <w:rFonts w:eastAsia="TimesNewRoman"/>
          <w:color w:val="000000"/>
          <w:sz w:val="28"/>
          <w:szCs w:val="28"/>
        </w:rPr>
        <w:t xml:space="preserve">)</w:t>
      </w:r>
      <w:r>
        <w:rPr>
          <w:rFonts w:eastAsia="TimesNewRoman"/>
          <w:color w:val="000000"/>
          <w:sz w:val="28"/>
          <w:szCs w:val="28"/>
        </w:rPr>
        <w:t xml:space="preserve">. Каждая глава включает 2-3 параграфа. Названия глав не должны дублировать название темы, а название параграфов – названия глав.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b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Кроме того, обязательными структурными элементами курсовой работы являются: </w:t>
      </w:r>
      <w:r>
        <w:rPr>
          <w:rFonts w:eastAsia="TimesNewRoman"/>
          <w:color w:val="000000"/>
          <w:sz w:val="28"/>
          <w:szCs w:val="28"/>
        </w:rPr>
        <w:t xml:space="preserve">введение, заключение</w:t>
      </w:r>
      <w:r>
        <w:rPr>
          <w:rFonts w:eastAsia="TimesNewRoman"/>
          <w:color w:val="000000"/>
          <w:sz w:val="28"/>
          <w:szCs w:val="28"/>
        </w:rPr>
        <w:t xml:space="preserve">,</w:t>
      </w:r>
      <w:r>
        <w:rPr>
          <w:rFonts w:eastAsia="TimesNewRoman"/>
          <w:color w:val="000000"/>
          <w:sz w:val="28"/>
          <w:szCs w:val="28"/>
        </w:rPr>
        <w:t xml:space="preserve"> с</w:t>
      </w:r>
      <w:r>
        <w:rPr>
          <w:rFonts w:eastAsia="TimesNewRoman"/>
          <w:color w:val="000000"/>
          <w:sz w:val="28"/>
          <w:szCs w:val="28"/>
        </w:rPr>
        <w:t xml:space="preserve">писок использованных источников и приложения (при необходимости).</w:t>
      </w:r>
      <w:r>
        <w:rPr>
          <w:rFonts w:eastAsia="TimesNewRoman"/>
          <w:b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bCs/>
          <w:iCs/>
          <w:color w:val="000000"/>
          <w:sz w:val="28"/>
          <w:szCs w:val="28"/>
        </w:rPr>
      </w:pPr>
      <w:r>
        <w:rPr>
          <w:rFonts w:eastAsia="TimesNewRoman"/>
          <w:bCs/>
          <w:iCs/>
          <w:color w:val="000000"/>
          <w:sz w:val="28"/>
          <w:szCs w:val="28"/>
        </w:rPr>
        <w:t xml:space="preserve">Работа должна сод</w:t>
      </w:r>
      <w:r>
        <w:rPr>
          <w:rFonts w:eastAsia="TimesNewRoman"/>
          <w:bCs/>
          <w:iCs/>
          <w:color w:val="000000"/>
          <w:sz w:val="28"/>
          <w:szCs w:val="28"/>
        </w:rPr>
        <w:t xml:space="preserve">ержать в себе научный стиль. Излагать материал следует с использованием научной терминологии, профессионального языка. Недопустимо применять обороты разговорной речи или публицистический стиль (за исключением коротких цитат из газетных, журнальных статей).</w:t>
      </w:r>
      <w:r>
        <w:rPr>
          <w:rFonts w:eastAsia="TimesNewRoman"/>
          <w:bCs/>
          <w:iCs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bCs/>
          <w:iCs/>
          <w:color w:val="000000"/>
          <w:sz w:val="28"/>
          <w:szCs w:val="28"/>
        </w:rPr>
      </w:pPr>
      <w:r>
        <w:rPr>
          <w:rFonts w:eastAsia="TimesNewRoman"/>
          <w:bCs/>
          <w:iCs/>
          <w:color w:val="000000"/>
          <w:sz w:val="28"/>
          <w:szCs w:val="28"/>
        </w:rPr>
        <w:t xml:space="preserve">Стиль письменной научной мысли – это обезличенный монолог. Поэтому изложение ведется от третьего лица, так как внимание сосредоточено на содержании и</w:t>
      </w:r>
      <w:r>
        <w:rPr>
          <w:rFonts w:eastAsia="TimesNewRoman"/>
          <w:bCs/>
          <w:iCs/>
          <w:color w:val="000000"/>
          <w:sz w:val="28"/>
          <w:szCs w:val="28"/>
        </w:rPr>
        <w:t xml:space="preserve"> логической последовательности сообщения, а не на субъекте. Материал также может излагаться с использованием безличных оборотов или от третьего лица. Например: «можно предположить, что…», «представляется важным…», «автор считает, что…», «по мнению автора…»</w:t>
      </w:r>
      <w:r>
        <w:rPr>
          <w:rFonts w:eastAsia="TimesNewRoman"/>
          <w:bCs/>
          <w:iCs/>
          <w:color w:val="000000"/>
          <w:sz w:val="28"/>
          <w:szCs w:val="28"/>
        </w:rPr>
        <w:t xml:space="preserve">, «мы считаем…», «нами выявлено…»</w:t>
      </w:r>
      <w:r>
        <w:rPr>
          <w:rFonts w:eastAsia="TimesNewRoman"/>
          <w:bCs/>
          <w:iCs/>
          <w:color w:val="000000"/>
          <w:sz w:val="28"/>
          <w:szCs w:val="28"/>
        </w:rPr>
        <w:t xml:space="preserve"> и т.</w:t>
      </w:r>
      <w:r>
        <w:rPr>
          <w:rFonts w:eastAsia="TimesNewRoman"/>
          <w:bCs/>
          <w:iCs/>
          <w:color w:val="000000"/>
          <w:sz w:val="28"/>
          <w:szCs w:val="28"/>
        </w:rPr>
        <w:t xml:space="preserve">д.</w:t>
      </w:r>
      <w:r>
        <w:rPr>
          <w:rFonts w:eastAsia="TimesNewRoman"/>
          <w:bCs/>
          <w:iCs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b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  <w:t xml:space="preserve">1. Введение</w:t>
      </w:r>
      <w:r>
        <w:rPr>
          <w:rFonts w:eastAsia="TimesNewRoman"/>
          <w:b/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По введению судят о тщательности подхода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продуманности в выборе темы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об уровне курсовой работы в целом</w:t>
      </w:r>
      <w:r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Структура введения должн</w:t>
      </w:r>
      <w:r>
        <w:rPr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 содержать ряд </w:t>
      </w:r>
      <w:r>
        <w:rPr>
          <w:b/>
          <w:color w:val="000000"/>
          <w:sz w:val="28"/>
          <w:szCs w:val="28"/>
        </w:rPr>
        <w:t xml:space="preserve">обязательных </w:t>
      </w:r>
      <w:r>
        <w:rPr>
          <w:b/>
          <w:color w:val="000000"/>
          <w:sz w:val="28"/>
          <w:szCs w:val="28"/>
        </w:rPr>
        <w:t xml:space="preserve">последовательных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элементов:</w:t>
      </w:r>
      <w:r>
        <w:rPr>
          <w:color w:val="000000"/>
          <w:sz w:val="28"/>
          <w:szCs w:val="28"/>
        </w:rPr>
        <w:t xml:space="preserve"> актуальность выбранной темы, </w:t>
      </w:r>
      <w:r>
        <w:rPr>
          <w:color w:val="000000"/>
          <w:sz w:val="28"/>
          <w:szCs w:val="28"/>
        </w:rPr>
        <w:t xml:space="preserve">объект и предмет курсовой работы, </w:t>
      </w:r>
      <w:r>
        <w:rPr>
          <w:color w:val="000000"/>
          <w:sz w:val="28"/>
          <w:szCs w:val="28"/>
        </w:rPr>
        <w:t xml:space="preserve">цель написания курсовой работы, решаемые задачи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b/>
          <w:bCs/>
          <w:i/>
          <w:iCs/>
          <w:color w:val="000000"/>
          <w:sz w:val="28"/>
          <w:szCs w:val="28"/>
        </w:rPr>
        <w:t xml:space="preserve">Обоснование актуальности темы </w:t>
      </w:r>
      <w:r>
        <w:rPr>
          <w:rFonts w:eastAsia="TimesNewRoman"/>
          <w:color w:val="000000"/>
          <w:sz w:val="28"/>
          <w:szCs w:val="28"/>
        </w:rPr>
        <w:t xml:space="preserve">показывает главное – суть проблемной ситуации (противоречивой ситуации, требующей своего разрешения).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 обосновании темы вы должны объяснить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в чем </w:t>
      </w:r>
      <w:r>
        <w:rPr>
          <w:rFonts w:eastAsia="TimesNewRoman"/>
          <w:b/>
          <w:color w:val="000000"/>
          <w:sz w:val="28"/>
          <w:szCs w:val="28"/>
        </w:rPr>
        <w:t xml:space="preserve">актуальность</w:t>
      </w:r>
      <w:r>
        <w:rPr>
          <w:rFonts w:eastAsia="TimesNewRoman"/>
          <w:color w:val="000000"/>
          <w:sz w:val="28"/>
          <w:szCs w:val="28"/>
        </w:rPr>
        <w:t xml:space="preserve"> вашей работы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как она связана с происходящим</w:t>
      </w:r>
      <w:r>
        <w:rPr>
          <w:rFonts w:eastAsia="TimesNewRoman"/>
          <w:color w:val="000000"/>
          <w:sz w:val="28"/>
          <w:szCs w:val="28"/>
        </w:rPr>
        <w:t xml:space="preserve">и</w:t>
      </w:r>
      <w:r>
        <w:rPr>
          <w:rFonts w:eastAsia="TimesNewRoman"/>
          <w:color w:val="000000"/>
          <w:sz w:val="28"/>
          <w:szCs w:val="28"/>
        </w:rPr>
        <w:t xml:space="preserve"> процессами </w:t>
      </w:r>
      <w:r>
        <w:rPr>
          <w:rFonts w:eastAsia="TimesNewRoman"/>
          <w:color w:val="000000"/>
          <w:sz w:val="28"/>
          <w:szCs w:val="28"/>
        </w:rPr>
        <w:t xml:space="preserve">в обществе.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Во введении обязательно указывается </w:t>
      </w:r>
      <w:r>
        <w:rPr>
          <w:rFonts w:eastAsia="TimesNewRoman"/>
          <w:b/>
          <w:color w:val="000000"/>
          <w:sz w:val="28"/>
          <w:szCs w:val="28"/>
        </w:rPr>
        <w:t xml:space="preserve">объект </w:t>
      </w:r>
      <w:r>
        <w:rPr>
          <w:rFonts w:eastAsia="TimesNewRoman"/>
          <w:color w:val="000000"/>
          <w:sz w:val="28"/>
          <w:szCs w:val="28"/>
        </w:rPr>
        <w:t xml:space="preserve">и</w:t>
      </w:r>
      <w:r>
        <w:rPr>
          <w:rFonts w:eastAsia="TimesNewRoman"/>
          <w:b/>
          <w:color w:val="000000"/>
          <w:sz w:val="28"/>
          <w:szCs w:val="28"/>
        </w:rPr>
        <w:t xml:space="preserve"> предмет</w:t>
      </w:r>
      <w:r>
        <w:rPr>
          <w:rFonts w:eastAsia="TimesNewRoman"/>
          <w:color w:val="000000"/>
          <w:sz w:val="28"/>
          <w:szCs w:val="28"/>
        </w:rPr>
        <w:t xml:space="preserve"> исследования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которые непосредственно связаны с сущностью темы.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  <w:t xml:space="preserve">Объект</w:t>
      </w:r>
      <w:r>
        <w:rPr>
          <w:rFonts w:eastAsia="TimesNewRoman"/>
          <w:color w:val="000000"/>
          <w:sz w:val="28"/>
          <w:szCs w:val="28"/>
        </w:rPr>
        <w:t xml:space="preserve"> – это процесс или явление, порождающее проблемную ситуацию и </w:t>
      </w:r>
      <w:r>
        <w:rPr>
          <w:rFonts w:eastAsia="TimesNewRoman"/>
          <w:color w:val="000000"/>
          <w:sz w:val="28"/>
          <w:szCs w:val="28"/>
        </w:rPr>
        <w:t xml:space="preserve">выбранное для изучения</w:t>
      </w:r>
      <w:r>
        <w:rPr>
          <w:rFonts w:eastAsia="TimesNewRoman"/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Например, в качестве </w:t>
      </w:r>
      <w:r>
        <w:rPr>
          <w:rFonts w:eastAsia="TimesNewRoman"/>
          <w:b/>
          <w:color w:val="000000"/>
          <w:sz w:val="28"/>
          <w:szCs w:val="28"/>
        </w:rPr>
        <w:t xml:space="preserve">объекта</w:t>
      </w:r>
      <w:r>
        <w:rPr>
          <w:rFonts w:eastAsia="TimesNewRoman"/>
          <w:color w:val="000000"/>
          <w:sz w:val="28"/>
          <w:szCs w:val="28"/>
        </w:rPr>
        <w:t xml:space="preserve"> может выступать организация (или иной элемент системы) на примере которой рассматривается проблемная ситуация или выбранная для исследования тема.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  <w:t xml:space="preserve">Предмет</w:t>
      </w:r>
      <w:r>
        <w:rPr>
          <w:rFonts w:eastAsia="TimesNewRoman"/>
          <w:color w:val="000000"/>
          <w:sz w:val="28"/>
          <w:szCs w:val="28"/>
        </w:rPr>
        <w:t xml:space="preserve"> – это одна из частных сторон объекта</w:t>
      </w:r>
      <w:r>
        <w:rPr>
          <w:rFonts w:eastAsia="TimesNewRoman"/>
          <w:color w:val="000000"/>
          <w:sz w:val="28"/>
          <w:szCs w:val="28"/>
        </w:rPr>
        <w:t xml:space="preserve"> (является его частью)</w:t>
      </w:r>
      <w:r>
        <w:rPr>
          <w:rFonts w:eastAsia="TimesNewRoman"/>
          <w:color w:val="000000"/>
          <w:sz w:val="28"/>
          <w:szCs w:val="28"/>
        </w:rPr>
        <w:t xml:space="preserve">, отражающая </w:t>
      </w:r>
      <w:r>
        <w:rPr>
          <w:rFonts w:eastAsia="TimesNewRoman"/>
          <w:b/>
          <w:color w:val="000000"/>
          <w:sz w:val="28"/>
          <w:szCs w:val="28"/>
        </w:rPr>
        <w:t xml:space="preserve">процесс, отношения</w:t>
      </w:r>
      <w:r>
        <w:rPr>
          <w:rFonts w:eastAsia="TimesNewRoman"/>
          <w:b/>
          <w:color w:val="000000"/>
          <w:sz w:val="28"/>
          <w:szCs w:val="28"/>
        </w:rPr>
        <w:t xml:space="preserve">,</w:t>
      </w:r>
      <w:r>
        <w:rPr>
          <w:rFonts w:eastAsia="TimesNewRoman"/>
          <w:b/>
          <w:color w:val="000000"/>
          <w:sz w:val="28"/>
          <w:szCs w:val="28"/>
        </w:rPr>
        <w:t xml:space="preserve"> явления</w:t>
      </w:r>
      <w:r>
        <w:rPr>
          <w:rFonts w:eastAsia="TimesNewRoman"/>
          <w:b/>
          <w:color w:val="000000"/>
          <w:sz w:val="28"/>
          <w:szCs w:val="28"/>
        </w:rPr>
        <w:t xml:space="preserve">, свойства, особенности</w:t>
      </w:r>
      <w:r>
        <w:rPr>
          <w:rFonts w:eastAsia="TimesNewRoman"/>
          <w:b/>
          <w:color w:val="000000"/>
          <w:sz w:val="28"/>
          <w:szCs w:val="28"/>
        </w:rPr>
        <w:t xml:space="preserve"> и т.п. </w:t>
      </w:r>
      <w:r>
        <w:rPr>
          <w:rFonts w:eastAsia="TimesNewRoman"/>
          <w:color w:val="000000"/>
          <w:sz w:val="28"/>
          <w:szCs w:val="28"/>
        </w:rPr>
        <w:t xml:space="preserve">в рамках выбранной темы курсовой работы</w:t>
      </w:r>
      <w:r>
        <w:rPr>
          <w:rFonts w:eastAsia="TimesNewRoman"/>
          <w:color w:val="000000"/>
          <w:sz w:val="28"/>
          <w:szCs w:val="28"/>
        </w:rPr>
        <w:t xml:space="preserve">, т.е. наиболее существенные (по мнению исследователя) признаки объекта.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  <w:t xml:space="preserve">Цель</w:t>
      </w:r>
      <w:r>
        <w:rPr>
          <w:rFonts w:eastAsia="TimesNewRoman"/>
          <w:color w:val="000000"/>
          <w:sz w:val="28"/>
          <w:szCs w:val="28"/>
        </w:rPr>
        <w:t xml:space="preserve"> работы непосредственно должна быть связана с темой курсовой работы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Как правило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студент должен указать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что он собирается сделать</w:t>
      </w:r>
      <w:r>
        <w:rPr>
          <w:color w:val="000000"/>
          <w:sz w:val="28"/>
          <w:szCs w:val="28"/>
        </w:rPr>
        <w:t xml:space="preserve">: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i/>
          <w:color w:val="000000"/>
          <w:sz w:val="28"/>
          <w:szCs w:val="28"/>
        </w:rPr>
        <w:t xml:space="preserve">проанализировать</w:t>
      </w:r>
      <w:r>
        <w:rPr>
          <w:i/>
          <w:color w:val="000000"/>
          <w:sz w:val="28"/>
          <w:szCs w:val="28"/>
        </w:rPr>
        <w:t xml:space="preserve">, </w:t>
      </w:r>
      <w:r>
        <w:rPr>
          <w:rFonts w:eastAsia="TimesNewRoman"/>
          <w:i/>
          <w:color w:val="000000"/>
          <w:sz w:val="28"/>
          <w:szCs w:val="28"/>
        </w:rPr>
        <w:t xml:space="preserve">обосновать</w:t>
      </w:r>
      <w:r>
        <w:rPr>
          <w:i/>
          <w:color w:val="000000"/>
          <w:sz w:val="28"/>
          <w:szCs w:val="28"/>
        </w:rPr>
        <w:t xml:space="preserve">, </w:t>
      </w:r>
      <w:r>
        <w:rPr>
          <w:rFonts w:eastAsia="TimesNewRoman"/>
          <w:i/>
          <w:color w:val="000000"/>
          <w:sz w:val="28"/>
          <w:szCs w:val="28"/>
        </w:rPr>
        <w:t xml:space="preserve">раскрыть</w:t>
      </w:r>
      <w:r>
        <w:rPr>
          <w:i/>
          <w:color w:val="000000"/>
          <w:sz w:val="28"/>
          <w:szCs w:val="28"/>
        </w:rPr>
        <w:t xml:space="preserve">, </w:t>
      </w:r>
      <w:r>
        <w:rPr>
          <w:rFonts w:eastAsia="TimesNewRoman"/>
          <w:i/>
          <w:color w:val="000000"/>
          <w:sz w:val="28"/>
          <w:szCs w:val="28"/>
        </w:rPr>
        <w:t xml:space="preserve">выявить</w:t>
      </w:r>
      <w:r>
        <w:rPr>
          <w:i/>
          <w:color w:val="000000"/>
          <w:sz w:val="28"/>
          <w:szCs w:val="28"/>
        </w:rPr>
        <w:t xml:space="preserve">, </w:t>
      </w:r>
      <w:r>
        <w:rPr>
          <w:rFonts w:eastAsia="TimesNewRoman"/>
          <w:i/>
          <w:color w:val="000000"/>
          <w:sz w:val="28"/>
          <w:szCs w:val="28"/>
        </w:rPr>
        <w:t xml:space="preserve">охарактеризовать</w:t>
      </w:r>
      <w:r>
        <w:rPr>
          <w:i/>
          <w:color w:val="000000"/>
          <w:sz w:val="28"/>
          <w:szCs w:val="28"/>
        </w:rPr>
        <w:t xml:space="preserve">,</w:t>
      </w:r>
      <w:r>
        <w:rPr>
          <w:rFonts w:eastAsia="TimesNewRoman"/>
          <w:i/>
          <w:color w:val="000000"/>
          <w:sz w:val="28"/>
          <w:szCs w:val="28"/>
        </w:rPr>
        <w:t xml:space="preserve"> разработать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Цель работы является наиболее масштабн</w:t>
      </w:r>
      <w:r>
        <w:rPr>
          <w:rFonts w:eastAsia="TimesNewRoman"/>
          <w:color w:val="000000"/>
          <w:sz w:val="28"/>
          <w:szCs w:val="28"/>
        </w:rPr>
        <w:t xml:space="preserve">ым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конкретным результатом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достижению</w:t>
      </w:r>
      <w:r>
        <w:rPr>
          <w:rFonts w:eastAsia="TimesNewRoman"/>
          <w:color w:val="000000"/>
          <w:sz w:val="28"/>
          <w:szCs w:val="28"/>
        </w:rPr>
        <w:t xml:space="preserve"> которо</w:t>
      </w:r>
      <w:r>
        <w:rPr>
          <w:rFonts w:eastAsia="TimesNewRoman"/>
          <w:color w:val="000000"/>
          <w:sz w:val="28"/>
          <w:szCs w:val="28"/>
        </w:rPr>
        <w:t xml:space="preserve">го</w:t>
      </w:r>
      <w:r>
        <w:rPr>
          <w:rFonts w:eastAsia="TimesNewRoman"/>
          <w:color w:val="000000"/>
          <w:sz w:val="28"/>
          <w:szCs w:val="28"/>
        </w:rPr>
        <w:t xml:space="preserve"> и будет посвящена курсовая работа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  <w:t xml:space="preserve">Задачи</w:t>
      </w:r>
      <w:r>
        <w:rPr>
          <w:rFonts w:eastAsia="TimesNewRoman"/>
          <w:color w:val="000000"/>
          <w:sz w:val="28"/>
          <w:szCs w:val="28"/>
        </w:rPr>
        <w:t xml:space="preserve"> являются направлениями в достижении цели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и указывают на основные направления </w:t>
      </w:r>
      <w:r>
        <w:rPr>
          <w:rFonts w:eastAsia="TimesNewRoman"/>
          <w:color w:val="000000"/>
          <w:sz w:val="28"/>
          <w:szCs w:val="28"/>
        </w:rPr>
        <w:t xml:space="preserve">исследования</w:t>
      </w:r>
      <w:r>
        <w:rPr>
          <w:rFonts w:eastAsia="TimesNewRoman"/>
          <w:color w:val="000000"/>
          <w:sz w:val="28"/>
          <w:szCs w:val="28"/>
        </w:rPr>
        <w:t xml:space="preserve"> при подготовке курсовой работы. Формулирование задач начина</w:t>
      </w:r>
      <w:r>
        <w:rPr>
          <w:rFonts w:eastAsia="TimesNewRoman"/>
          <w:color w:val="000000"/>
          <w:sz w:val="28"/>
          <w:szCs w:val="28"/>
        </w:rPr>
        <w:t xml:space="preserve">е</w:t>
      </w:r>
      <w:r>
        <w:rPr>
          <w:rFonts w:eastAsia="TimesNewRoman"/>
          <w:color w:val="000000"/>
          <w:sz w:val="28"/>
          <w:szCs w:val="28"/>
        </w:rPr>
        <w:t xml:space="preserve">тся с совершенных глаголов: рассмотреть…, раскрыть…, выяснить…, охарактеризовать…, проанализировать…, оценить…, выявить…, разработать рекомендации…, предложить методику… и т.п.</w:t>
      </w:r>
      <w:r>
        <w:rPr>
          <w:rFonts w:eastAsia="TimesNewRoman"/>
          <w:color w:val="000000"/>
          <w:sz w:val="28"/>
          <w:szCs w:val="28"/>
        </w:rPr>
        <w:t xml:space="preserve"> Сформулированные задачи должны соответствовать названиям глав и параграфов.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Во введении, также прописывают методы работы, которые применялись при выполнении курсовой работы (сравнительный анализ, </w:t>
      </w:r>
      <w:r>
        <w:rPr>
          <w:rFonts w:eastAsia="TimesNewRoman"/>
          <w:color w:val="000000"/>
          <w:sz w:val="28"/>
          <w:szCs w:val="28"/>
        </w:rPr>
        <w:t xml:space="preserve">факторный анализ, синтез</w:t>
      </w:r>
      <w:r>
        <w:rPr>
          <w:rFonts w:eastAsia="TimesNewRoman"/>
          <w:color w:val="000000"/>
          <w:sz w:val="28"/>
          <w:szCs w:val="28"/>
        </w:rPr>
        <w:t xml:space="preserve"> и др.).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b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  <w:t xml:space="preserve">2. </w:t>
      </w:r>
      <w:r>
        <w:rPr>
          <w:rFonts w:eastAsia="TimesNewRoman"/>
          <w:b/>
          <w:color w:val="000000"/>
          <w:sz w:val="28"/>
          <w:szCs w:val="28"/>
        </w:rPr>
        <w:t xml:space="preserve">Теоретическая </w:t>
      </w:r>
      <w:r>
        <w:rPr>
          <w:rFonts w:eastAsia="TimesNewRoman"/>
          <w:b/>
          <w:color w:val="000000"/>
          <w:sz w:val="28"/>
          <w:szCs w:val="28"/>
        </w:rPr>
        <w:t xml:space="preserve">глава</w:t>
      </w:r>
      <w:r>
        <w:rPr>
          <w:rFonts w:eastAsia="TimesNewRoman"/>
          <w:b/>
          <w:color w:val="000000"/>
          <w:sz w:val="28"/>
          <w:szCs w:val="28"/>
        </w:rPr>
        <w:t xml:space="preserve"> (теоретико-методологическая)</w:t>
      </w:r>
      <w:r>
        <w:rPr>
          <w:rFonts w:eastAsia="TimesNewRoman"/>
          <w:b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Теоретическая </w:t>
      </w:r>
      <w:r>
        <w:rPr>
          <w:rFonts w:eastAsia="TimesNewRoman"/>
          <w:color w:val="000000"/>
          <w:sz w:val="28"/>
          <w:szCs w:val="28"/>
        </w:rPr>
        <w:t xml:space="preserve">глава</w:t>
      </w:r>
      <w:r>
        <w:rPr>
          <w:rFonts w:eastAsia="TimesNewRoman"/>
          <w:color w:val="000000"/>
          <w:sz w:val="28"/>
          <w:szCs w:val="28"/>
        </w:rPr>
        <w:t xml:space="preserve"> является обязательной для курсовых работ.</w:t>
      </w:r>
      <w:r>
        <w:rPr>
          <w:rFonts w:eastAsia="TimesNewRoman"/>
          <w:b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Ее содержание должно целиком зависеть от выбранной темы.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Содержание данной главы не должно быть компиляцией текстов учебников, научных статей</w:t>
      </w:r>
      <w:r>
        <w:rPr>
          <w:rFonts w:eastAsia="TimesNewRoman"/>
          <w:color w:val="000000"/>
          <w:sz w:val="28"/>
          <w:szCs w:val="28"/>
        </w:rPr>
        <w:t xml:space="preserve">, курсовых работ</w:t>
      </w:r>
      <w:r>
        <w:rPr>
          <w:rFonts w:eastAsia="TimesNewRoman"/>
          <w:color w:val="000000"/>
          <w:sz w:val="28"/>
          <w:szCs w:val="28"/>
        </w:rPr>
        <w:t xml:space="preserve"> и других материалов </w:t>
      </w:r>
      <w:r>
        <w:rPr>
          <w:rFonts w:eastAsia="TimesNewRoman"/>
          <w:color w:val="000000"/>
          <w:sz w:val="28"/>
          <w:szCs w:val="28"/>
        </w:rPr>
        <w:t xml:space="preserve">из сети </w:t>
      </w:r>
      <w:r>
        <w:rPr>
          <w:rFonts w:eastAsia="TimesNewRoman"/>
          <w:color w:val="000000"/>
          <w:sz w:val="28"/>
          <w:szCs w:val="28"/>
        </w:rPr>
        <w:t xml:space="preserve">Интернет</w:t>
      </w:r>
      <w:r>
        <w:rPr>
          <w:rFonts w:eastAsia="TimesNewRoman"/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Данная глава</w:t>
      </w:r>
      <w:r>
        <w:rPr>
          <w:rFonts w:eastAsia="TimesNewRoman"/>
          <w:color w:val="000000"/>
          <w:sz w:val="28"/>
          <w:szCs w:val="28"/>
        </w:rPr>
        <w:t xml:space="preserve"> предполагает рассмотрение и раскрытие отдельных теоретических аспектов выбранной темы.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b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По ходу изложения останавливайтесь на терминах и категориях, поясняйте их, давайте им развернутое определение.</w:t>
      </w:r>
      <w:r>
        <w:rPr>
          <w:rFonts w:eastAsia="TimesNewRoman"/>
          <w:b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Таким образом, основой в первой главе будет обзор понятий, закономерностей, подходов к рассматриваемой проблеме. В этой главе вы будет делать много ссылок и цитировать различных авторов.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Необходимо помнить, что на заимствованный </w:t>
      </w:r>
      <w:r>
        <w:rPr>
          <w:rFonts w:eastAsia="TimesNewRoman"/>
          <w:color w:val="000000"/>
          <w:sz w:val="28"/>
          <w:szCs w:val="28"/>
        </w:rPr>
        <w:t xml:space="preserve">при изложении материала </w:t>
      </w:r>
      <w:r>
        <w:rPr>
          <w:rFonts w:eastAsia="TimesNewRoman"/>
          <w:color w:val="000000"/>
          <w:sz w:val="28"/>
          <w:szCs w:val="28"/>
        </w:rPr>
        <w:t xml:space="preserve">источник</w:t>
      </w:r>
      <w:r>
        <w:rPr>
          <w:rFonts w:eastAsia="TimesNewRoman"/>
          <w:color w:val="000000"/>
          <w:sz w:val="28"/>
          <w:szCs w:val="28"/>
        </w:rPr>
        <w:t xml:space="preserve">,</w:t>
      </w:r>
      <w:r>
        <w:rPr>
          <w:rFonts w:eastAsia="TimesNewRoman"/>
          <w:color w:val="000000"/>
          <w:sz w:val="28"/>
          <w:szCs w:val="28"/>
        </w:rPr>
        <w:t xml:space="preserve"> обязательно указыва</w:t>
      </w:r>
      <w:r>
        <w:rPr>
          <w:rFonts w:eastAsia="TimesNewRoman"/>
          <w:color w:val="000000"/>
          <w:sz w:val="28"/>
          <w:szCs w:val="28"/>
        </w:rPr>
        <w:t xml:space="preserve">ется</w:t>
      </w:r>
      <w:r>
        <w:rPr>
          <w:rFonts w:eastAsia="TimesNewRoman"/>
          <w:color w:val="000000"/>
          <w:sz w:val="28"/>
          <w:szCs w:val="28"/>
        </w:rPr>
        <w:t xml:space="preserve"> ссылку (сноск</w:t>
      </w:r>
      <w:r>
        <w:rPr>
          <w:rFonts w:eastAsia="TimesNewRoman"/>
          <w:color w:val="000000"/>
          <w:sz w:val="28"/>
          <w:szCs w:val="28"/>
        </w:rPr>
        <w:t xml:space="preserve">а</w:t>
      </w:r>
      <w:r>
        <w:rPr>
          <w:rFonts w:eastAsia="TimesNewRoman"/>
          <w:color w:val="000000"/>
          <w:sz w:val="28"/>
          <w:szCs w:val="28"/>
        </w:rPr>
        <w:t xml:space="preserve">). Ссылка на источник оформляется в соответствии с ГОСТ Р 7.0.5-2008.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Если в вашей курсовой работе идет речь о методике, то необходимо раскрыть ее содержание.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b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  <w:t xml:space="preserve">3. </w:t>
      </w:r>
      <w:r>
        <w:rPr>
          <w:rFonts w:eastAsia="TimesNewRoman"/>
          <w:b/>
          <w:color w:val="000000"/>
          <w:sz w:val="28"/>
          <w:szCs w:val="28"/>
        </w:rPr>
        <w:t xml:space="preserve">Исследовательская глава (аналитическо-практическая)</w:t>
      </w:r>
      <w:r>
        <w:rPr>
          <w:rFonts w:eastAsia="TimesNewRoman"/>
          <w:b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Содержание данной главы предполагает </w:t>
      </w:r>
      <w:r>
        <w:rPr>
          <w:rFonts w:eastAsia="TimesNewRoman"/>
          <w:color w:val="000000"/>
          <w:sz w:val="28"/>
          <w:szCs w:val="28"/>
        </w:rPr>
        <w:t xml:space="preserve">изучение</w:t>
      </w:r>
      <w:r>
        <w:rPr>
          <w:rFonts w:eastAsia="TimesNewRoman"/>
          <w:color w:val="000000"/>
          <w:sz w:val="28"/>
          <w:szCs w:val="28"/>
        </w:rPr>
        <w:t xml:space="preserve"> рассмотренных выше теоретических аспектов темы (проблемы) через проведение научно</w:t>
      </w:r>
      <w:r>
        <w:rPr>
          <w:rFonts w:eastAsia="TimesNewRoman"/>
          <w:color w:val="000000"/>
          <w:sz w:val="28"/>
          <w:szCs w:val="28"/>
        </w:rPr>
        <w:t xml:space="preserve">го (научно-</w:t>
      </w:r>
      <w:r>
        <w:rPr>
          <w:rFonts w:eastAsia="TimesNewRoman"/>
          <w:color w:val="000000"/>
          <w:sz w:val="28"/>
          <w:szCs w:val="28"/>
        </w:rPr>
        <w:t xml:space="preserve">прикладного</w:t>
      </w:r>
      <w:r>
        <w:rPr>
          <w:rFonts w:eastAsia="TimesNewRoman"/>
          <w:color w:val="000000"/>
          <w:sz w:val="28"/>
          <w:szCs w:val="28"/>
        </w:rPr>
        <w:t xml:space="preserve">)</w:t>
      </w:r>
      <w:r>
        <w:rPr>
          <w:rFonts w:eastAsia="TimesNewRoman"/>
          <w:color w:val="000000"/>
          <w:sz w:val="28"/>
          <w:szCs w:val="28"/>
        </w:rPr>
        <w:t xml:space="preserve"> исследования </w:t>
      </w:r>
      <w:r>
        <w:rPr>
          <w:rFonts w:eastAsia="TimesNewRoman"/>
          <w:color w:val="000000"/>
          <w:sz w:val="28"/>
          <w:szCs w:val="28"/>
        </w:rPr>
        <w:t xml:space="preserve">с </w:t>
      </w:r>
      <w:r>
        <w:rPr>
          <w:rFonts w:eastAsia="TimesNewRoman"/>
          <w:color w:val="000000"/>
          <w:sz w:val="28"/>
          <w:szCs w:val="28"/>
        </w:rPr>
        <w:t xml:space="preserve">использ</w:t>
      </w:r>
      <w:r>
        <w:rPr>
          <w:rFonts w:eastAsia="TimesNewRoman"/>
          <w:color w:val="000000"/>
          <w:sz w:val="28"/>
          <w:szCs w:val="28"/>
        </w:rPr>
        <w:t xml:space="preserve">ованием</w:t>
      </w:r>
      <w:r>
        <w:rPr>
          <w:rFonts w:eastAsia="TimesNewRoman"/>
          <w:color w:val="000000"/>
          <w:sz w:val="28"/>
          <w:szCs w:val="28"/>
        </w:rPr>
        <w:t xml:space="preserve"> соответствующи</w:t>
      </w:r>
      <w:r>
        <w:rPr>
          <w:rFonts w:eastAsia="TimesNewRoman"/>
          <w:color w:val="000000"/>
          <w:sz w:val="28"/>
          <w:szCs w:val="28"/>
        </w:rPr>
        <w:t xml:space="preserve">х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аналитических </w:t>
      </w:r>
      <w:r>
        <w:rPr>
          <w:rFonts w:eastAsia="TimesNewRoman"/>
          <w:color w:val="000000"/>
          <w:sz w:val="28"/>
          <w:szCs w:val="28"/>
        </w:rPr>
        <w:t xml:space="preserve">метод</w:t>
      </w:r>
      <w:r>
        <w:rPr>
          <w:rFonts w:eastAsia="TimesNewRoman"/>
          <w:color w:val="000000"/>
          <w:sz w:val="28"/>
          <w:szCs w:val="28"/>
        </w:rPr>
        <w:t xml:space="preserve">ов.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 </w:t>
      </w:r>
      <w:r>
        <w:rPr>
          <w:rFonts w:eastAsia="TimesNewRoman"/>
          <w:color w:val="000000"/>
          <w:sz w:val="28"/>
          <w:szCs w:val="28"/>
        </w:rPr>
        <w:t xml:space="preserve">написании </w:t>
      </w:r>
      <w:r>
        <w:rPr>
          <w:rFonts w:eastAsia="TimesNewRoman"/>
          <w:color w:val="000000"/>
          <w:sz w:val="28"/>
          <w:szCs w:val="28"/>
        </w:rPr>
        <w:t xml:space="preserve">исследовательской</w:t>
      </w:r>
      <w:r>
        <w:rPr>
          <w:rFonts w:eastAsia="TimesNewRoman"/>
          <w:color w:val="000000"/>
          <w:sz w:val="28"/>
          <w:szCs w:val="28"/>
        </w:rPr>
        <w:t xml:space="preserve"> главы </w:t>
      </w:r>
      <w:r>
        <w:rPr>
          <w:rFonts w:eastAsia="TimesNewRoman"/>
          <w:color w:val="000000"/>
          <w:sz w:val="28"/>
          <w:szCs w:val="28"/>
        </w:rPr>
        <w:t xml:space="preserve">курсовой работы, </w:t>
      </w:r>
      <w:r>
        <w:rPr>
          <w:rFonts w:eastAsia="TimesNewRoman"/>
          <w:color w:val="000000"/>
          <w:sz w:val="28"/>
          <w:szCs w:val="28"/>
        </w:rPr>
        <w:t xml:space="preserve">целесообразно учесть рекомендации </w:t>
      </w:r>
      <w:r>
        <w:rPr>
          <w:rFonts w:eastAsia="TimesNewRoman"/>
          <w:color w:val="000000"/>
          <w:sz w:val="28"/>
          <w:szCs w:val="28"/>
        </w:rPr>
        <w:t xml:space="preserve">общего характера, соблюдение которых п</w:t>
      </w:r>
      <w:r>
        <w:rPr>
          <w:rFonts w:eastAsia="TimesNewRoman"/>
          <w:color w:val="000000"/>
          <w:sz w:val="28"/>
          <w:szCs w:val="28"/>
        </w:rPr>
        <w:t xml:space="preserve">оможет избежать ошибок: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о</w:t>
      </w:r>
      <w:r>
        <w:rPr>
          <w:rFonts w:eastAsia="TimesNewRoman"/>
          <w:color w:val="000000"/>
          <w:sz w:val="28"/>
          <w:szCs w:val="28"/>
        </w:rPr>
        <w:t xml:space="preserve">бязательно после </w:t>
      </w:r>
      <w:r>
        <w:rPr>
          <w:rFonts w:eastAsia="TimesNewRoman"/>
          <w:color w:val="000000"/>
          <w:sz w:val="28"/>
          <w:szCs w:val="28"/>
        </w:rPr>
        <w:t xml:space="preserve">анализа</w:t>
      </w:r>
      <w:r>
        <w:rPr>
          <w:rFonts w:eastAsia="TimesNewRoman"/>
          <w:color w:val="000000"/>
          <w:sz w:val="28"/>
          <w:szCs w:val="28"/>
        </w:rPr>
        <w:t xml:space="preserve"> делайте </w:t>
      </w:r>
      <w:r>
        <w:rPr>
          <w:rFonts w:eastAsia="TimesNewRoman"/>
          <w:color w:val="000000"/>
          <w:sz w:val="28"/>
          <w:szCs w:val="28"/>
        </w:rPr>
        <w:t xml:space="preserve">промежуточные выводы,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к</w:t>
      </w:r>
      <w:r>
        <w:rPr>
          <w:rFonts w:eastAsia="TimesNewRoman"/>
          <w:color w:val="000000"/>
          <w:sz w:val="28"/>
          <w:szCs w:val="28"/>
        </w:rPr>
        <w:t xml:space="preserve">омментируйте </w:t>
      </w:r>
      <w:r>
        <w:rPr>
          <w:rFonts w:eastAsia="TimesNewRoman"/>
          <w:color w:val="000000"/>
          <w:sz w:val="28"/>
          <w:szCs w:val="28"/>
        </w:rPr>
        <w:t xml:space="preserve">полученные </w:t>
      </w:r>
      <w:r>
        <w:rPr>
          <w:rFonts w:eastAsia="TimesNewRoman"/>
          <w:color w:val="000000"/>
          <w:sz w:val="28"/>
          <w:szCs w:val="28"/>
        </w:rPr>
        <w:t xml:space="preserve">результаты, связывайте их с вашей темой и не бойтесь констатировать несоответствия, противоречия. Все это и составляет часть любой курсовой работы.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Содержанием этой главы должны стать результаты анализа конкретных вопросов</w:t>
      </w:r>
      <w:r>
        <w:rPr>
          <w:rFonts w:eastAsia="TimesNewRoman"/>
          <w:color w:val="000000"/>
          <w:sz w:val="28"/>
          <w:szCs w:val="28"/>
        </w:rPr>
        <w:t xml:space="preserve">,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дающие характеристику предмету исследования (например, динамика тех или иных показателей), </w:t>
      </w:r>
      <w:r>
        <w:rPr>
          <w:rFonts w:eastAsia="TimesNewRoman"/>
          <w:color w:val="000000"/>
          <w:sz w:val="28"/>
          <w:szCs w:val="28"/>
        </w:rPr>
        <w:t xml:space="preserve">и ваша авторская интерпретация </w:t>
      </w:r>
      <w:r>
        <w:rPr>
          <w:rFonts w:eastAsia="TimesNewRoman"/>
          <w:color w:val="000000"/>
          <w:sz w:val="28"/>
          <w:szCs w:val="28"/>
        </w:rPr>
        <w:t xml:space="preserve">возможных решений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(например, предложения по совершенствованию)</w:t>
      </w:r>
      <w:r>
        <w:rPr>
          <w:rFonts w:eastAsia="TimesNewRoman"/>
          <w:color w:val="000000"/>
          <w:sz w:val="28"/>
          <w:szCs w:val="28"/>
        </w:rPr>
        <w:t xml:space="preserve">, основанн</w:t>
      </w:r>
      <w:r>
        <w:rPr>
          <w:rFonts w:eastAsia="TimesNewRoman"/>
          <w:color w:val="000000"/>
          <w:sz w:val="28"/>
          <w:szCs w:val="28"/>
        </w:rPr>
        <w:t xml:space="preserve">ых</w:t>
      </w:r>
      <w:r>
        <w:rPr>
          <w:rFonts w:eastAsia="TimesNewRoman"/>
          <w:color w:val="000000"/>
          <w:sz w:val="28"/>
          <w:szCs w:val="28"/>
        </w:rPr>
        <w:t xml:space="preserve"> на проведенном исследовании.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b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  <w:t xml:space="preserve">4. Заключение</w:t>
      </w:r>
      <w:r>
        <w:rPr>
          <w:rFonts w:eastAsia="TimesNewRoman"/>
          <w:b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Заключение следует тесно увязывать с введением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т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  <w:t xml:space="preserve">к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во введении вы будете обосновывать задачи работы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а в заключении описывать </w:t>
      </w:r>
      <w:r>
        <w:rPr>
          <w:color w:val="000000"/>
          <w:sz w:val="28"/>
          <w:szCs w:val="28"/>
        </w:rPr>
        <w:t xml:space="preserve">– </w:t>
      </w:r>
      <w:r>
        <w:rPr>
          <w:rFonts w:eastAsia="TimesNewRoman"/>
          <w:color w:val="000000"/>
          <w:sz w:val="28"/>
          <w:szCs w:val="28"/>
        </w:rPr>
        <w:t xml:space="preserve">как вы их решили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 этом </w:t>
      </w:r>
      <w:r>
        <w:rPr>
          <w:rFonts w:eastAsia="TimesNewRoman"/>
          <w:color w:val="000000"/>
          <w:sz w:val="28"/>
          <w:szCs w:val="28"/>
        </w:rPr>
        <w:t xml:space="preserve">студент</w:t>
      </w:r>
      <w:r>
        <w:rPr>
          <w:rFonts w:eastAsia="TimesNewRoman"/>
          <w:color w:val="000000"/>
          <w:sz w:val="28"/>
          <w:szCs w:val="28"/>
        </w:rPr>
        <w:t xml:space="preserve"> вновь</w:t>
      </w:r>
      <w:r>
        <w:rPr>
          <w:rFonts w:eastAsia="TimesNewRoman"/>
          <w:color w:val="000000"/>
          <w:sz w:val="28"/>
          <w:szCs w:val="28"/>
        </w:rPr>
        <w:t xml:space="preserve"> обра</w:t>
      </w:r>
      <w:r>
        <w:rPr>
          <w:rFonts w:eastAsia="TimesNewRoman"/>
          <w:color w:val="000000"/>
          <w:sz w:val="28"/>
          <w:szCs w:val="28"/>
        </w:rPr>
        <w:t xml:space="preserve">щается</w:t>
      </w:r>
      <w:r>
        <w:rPr>
          <w:rFonts w:eastAsia="TimesNewRoman"/>
          <w:color w:val="000000"/>
          <w:sz w:val="28"/>
          <w:szCs w:val="28"/>
        </w:rPr>
        <w:t xml:space="preserve"> к актуальности темы, но в отличие от введения, характеристика актуальности должна быть на ином, более высоком уровне.</w:t>
      </w:r>
      <w:r>
        <w:rPr>
          <w:rFonts w:eastAsia="TimesNewRoman"/>
          <w:color w:val="000000"/>
          <w:sz w:val="28"/>
          <w:szCs w:val="28"/>
        </w:rPr>
        <w:t xml:space="preserve"> Далее в заключении описывается,</w:t>
      </w:r>
      <w:r>
        <w:rPr>
          <w:rFonts w:eastAsia="TimesNewRoman"/>
          <w:color w:val="000000"/>
          <w:sz w:val="28"/>
          <w:szCs w:val="28"/>
        </w:rPr>
        <w:t xml:space="preserve"> как решены задачи курсовой работы с промежуточными и конечными итогами.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b/>
          <w:bCs/>
          <w:color w:val="000000"/>
          <w:sz w:val="28"/>
          <w:szCs w:val="28"/>
        </w:rPr>
      </w:pPr>
      <w:r>
        <w:rPr>
          <w:rFonts w:eastAsia="TimesNewRoman"/>
          <w:b/>
          <w:bCs/>
          <w:color w:val="000000"/>
          <w:sz w:val="28"/>
          <w:szCs w:val="28"/>
        </w:rPr>
        <w:t xml:space="preserve">5. Список </w:t>
      </w:r>
      <w:r>
        <w:rPr>
          <w:rFonts w:eastAsia="TimesNewRoman"/>
          <w:b/>
          <w:bCs/>
          <w:color w:val="000000"/>
          <w:sz w:val="28"/>
          <w:szCs w:val="28"/>
        </w:rPr>
        <w:t xml:space="preserve">использованных </w:t>
      </w:r>
      <w:r>
        <w:rPr>
          <w:rFonts w:eastAsia="TimesNewRoman"/>
          <w:b/>
          <w:bCs/>
          <w:color w:val="000000"/>
          <w:sz w:val="28"/>
          <w:szCs w:val="28"/>
        </w:rPr>
        <w:t xml:space="preserve">источников</w:t>
      </w:r>
      <w:r>
        <w:rPr>
          <w:rFonts w:eastAsia="TimesNewRoman"/>
          <w:b/>
          <w:bCs/>
          <w:color w:val="000000"/>
          <w:sz w:val="28"/>
          <w:szCs w:val="28"/>
        </w:rPr>
        <w:t xml:space="preserve"> </w:t>
      </w:r>
      <w:r>
        <w:rPr>
          <w:rFonts w:eastAsia="TimesNew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Описание источников осуществляется в соответствии </w:t>
      </w:r>
      <w:r>
        <w:rPr>
          <w:rFonts w:eastAsia="TimesNewRoman"/>
          <w:sz w:val="28"/>
          <w:szCs w:val="28"/>
        </w:rPr>
        <w:t xml:space="preserve">с ГОСТ Р 7.0.5-2008.</w:t>
      </w:r>
      <w:r>
        <w:rPr>
          <w:rFonts w:eastAsia="TimesNewRoman"/>
          <w:bCs/>
          <w:color w:val="000000"/>
          <w:sz w:val="28"/>
          <w:szCs w:val="28"/>
        </w:rPr>
        <w:t xml:space="preserve"> Список использованных источников</w:t>
      </w:r>
      <w:r>
        <w:rPr>
          <w:rFonts w:eastAsia="TimesNewRoman"/>
          <w:b/>
          <w:bCs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включает перечень источников, которые были использованы при подготовке курсовой работы и на которые есть ссылки в основном тексте. Список должен быть организован в соответствии с едиными требованиями библиографического описания произведений печати.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В список источников следует включать ссылки на научную литературу (статьи, монографии и т. п.). Список должен быть сбалансирован по видам изданий, годам опубликования, источникам и пр. </w:t>
      </w:r>
      <w:r>
        <w:rPr>
          <w:rFonts w:eastAsia="TimesNewRoman"/>
          <w:b/>
          <w:bCs/>
          <w:color w:val="000000"/>
          <w:sz w:val="28"/>
          <w:szCs w:val="28"/>
        </w:rPr>
        <w:t xml:space="preserve">В списке источников обязательно должны присутствовать издания за последние два года.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 систематическом расположении список использованных источников необходимо расположить в следующем порядке:</w:t>
      </w:r>
      <w:r>
        <w:rPr>
          <w:rFonts w:eastAsia="TimesNewRoman"/>
          <w:color w:val="000000"/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Конституция РФ;</w:t>
      </w:r>
      <w:r>
        <w:rPr>
          <w:rFonts w:eastAsia="TimesNewRoman"/>
          <w:color w:val="000000"/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Федеральные законы РФ;</w:t>
      </w:r>
      <w:r>
        <w:rPr>
          <w:rFonts w:eastAsia="TimesNewRoman"/>
          <w:color w:val="000000"/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Указы президента РФ;</w:t>
      </w:r>
      <w:r>
        <w:rPr>
          <w:rFonts w:eastAsia="TimesNewRoman"/>
          <w:color w:val="000000"/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Постановления Правительства РФ;</w:t>
      </w:r>
      <w:r>
        <w:rPr>
          <w:rFonts w:eastAsia="TimesNewRoman"/>
          <w:color w:val="000000"/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письма, инструкции, распоряжения Министерств, Федеральных служб, Агентств;</w:t>
      </w:r>
      <w:r>
        <w:rPr>
          <w:rFonts w:eastAsia="TimesNewRoman"/>
          <w:color w:val="000000"/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научные издания по теме;</w:t>
      </w:r>
      <w:r>
        <w:rPr>
          <w:rFonts w:eastAsia="TimesNewRoman"/>
          <w:color w:val="000000"/>
          <w:sz w:val="28"/>
          <w:szCs w:val="28"/>
        </w:rPr>
      </w:r>
    </w:p>
    <w:p>
      <w:pPr>
        <w:numPr>
          <w:ilvl w:val="1"/>
          <w:numId w:val="20"/>
        </w:numPr>
        <w:ind w:left="0"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  <w:lang w:val="en-US"/>
        </w:rPr>
      </w:pPr>
      <w:r>
        <w:rPr>
          <w:rFonts w:eastAsia="TimesNewRoman"/>
          <w:color w:val="000000"/>
          <w:sz w:val="28"/>
          <w:szCs w:val="28"/>
        </w:rPr>
        <w:t xml:space="preserve">учебные</w:t>
      </w:r>
      <w:r>
        <w:rPr>
          <w:rFonts w:eastAsia="TimesNewRoman"/>
          <w:color w:val="000000"/>
          <w:sz w:val="28"/>
          <w:szCs w:val="28"/>
          <w:lang w:val="en-US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издания</w:t>
      </w:r>
      <w:r>
        <w:rPr>
          <w:rFonts w:eastAsia="TimesNewRoman"/>
          <w:color w:val="000000"/>
          <w:sz w:val="28"/>
          <w:szCs w:val="28"/>
          <w:lang w:val="en-US"/>
        </w:rPr>
        <w:t xml:space="preserve">;</w:t>
      </w:r>
      <w:r>
        <w:rPr>
          <w:rFonts w:eastAsia="TimesNewRoman"/>
          <w:color w:val="000000"/>
          <w:sz w:val="28"/>
          <w:szCs w:val="28"/>
          <w:lang w:val="en-US"/>
        </w:rPr>
      </w:r>
    </w:p>
    <w:p>
      <w:pPr>
        <w:numPr>
          <w:ilvl w:val="0"/>
          <w:numId w:val="20"/>
        </w:numPr>
        <w:ind w:left="0"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статьи из периодических изданий;</w:t>
      </w:r>
      <w:r>
        <w:rPr>
          <w:rFonts w:eastAsia="TimesNewRoman"/>
          <w:color w:val="000000"/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справочные издания;</w:t>
      </w:r>
      <w:r>
        <w:rPr>
          <w:rFonts w:eastAsia="TimesNewRoman"/>
          <w:color w:val="000000"/>
          <w:sz w:val="28"/>
          <w:szCs w:val="28"/>
        </w:rPr>
      </w:r>
    </w:p>
    <w:p>
      <w:pPr>
        <w:numPr>
          <w:ilvl w:val="0"/>
          <w:numId w:val="20"/>
        </w:numPr>
        <w:ind w:left="0"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интернет-ресурсы.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b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Общее количество источников в курсовой работе должно быть в пределах </w:t>
      </w:r>
      <w:r>
        <w:rPr>
          <w:rFonts w:eastAsia="TimesNewRoman"/>
          <w:b/>
          <w:color w:val="000000"/>
          <w:sz w:val="28"/>
          <w:szCs w:val="28"/>
        </w:rPr>
        <w:t xml:space="preserve">12-15 </w:t>
      </w:r>
      <w:r>
        <w:rPr>
          <w:rFonts w:eastAsia="TimesNewRoman"/>
          <w:color w:val="000000"/>
          <w:sz w:val="28"/>
          <w:szCs w:val="28"/>
        </w:rPr>
        <w:t xml:space="preserve">наименований</w:t>
      </w:r>
      <w:r>
        <w:rPr>
          <w:rFonts w:eastAsia="TimesNewRoman"/>
          <w:b/>
          <w:color w:val="000000"/>
          <w:sz w:val="28"/>
          <w:szCs w:val="28"/>
        </w:rPr>
        <w:t xml:space="preserve">.</w:t>
      </w:r>
      <w:r>
        <w:rPr>
          <w:rFonts w:eastAsia="TimesNewRoman"/>
          <w:b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  <w:t xml:space="preserve">6.</w:t>
      </w:r>
      <w:r>
        <w:rPr>
          <w:rFonts w:eastAsia="TimesNewRoman"/>
          <w:color w:val="000000"/>
          <w:sz w:val="28"/>
          <w:szCs w:val="28"/>
        </w:rPr>
        <w:t xml:space="preserve"> В </w:t>
      </w:r>
      <w:r>
        <w:rPr>
          <w:rFonts w:eastAsia="TimesNewRoman"/>
          <w:b/>
          <w:bCs/>
          <w:color w:val="000000"/>
          <w:sz w:val="28"/>
          <w:szCs w:val="28"/>
        </w:rPr>
        <w:t xml:space="preserve">Приложения </w:t>
      </w:r>
      <w:r>
        <w:rPr>
          <w:rFonts w:eastAsia="TimesNewRoman"/>
          <w:color w:val="000000"/>
          <w:sz w:val="28"/>
          <w:szCs w:val="28"/>
        </w:rPr>
        <w:t xml:space="preserve">следует включать вспомогательный материал, на который имеются ссылки в основной части работы (схемы, сметы, калькуляции, положения, инструкции, первичные докуме</w:t>
      </w:r>
      <w:r>
        <w:rPr>
          <w:rFonts w:eastAsia="TimesNewRoman"/>
          <w:color w:val="000000"/>
          <w:sz w:val="28"/>
          <w:szCs w:val="28"/>
        </w:rPr>
        <w:t xml:space="preserve">нты, финансовая отчетность и т.</w:t>
      </w:r>
      <w:r>
        <w:rPr>
          <w:rFonts w:eastAsia="TimesNewRoman"/>
          <w:color w:val="000000"/>
          <w:sz w:val="28"/>
          <w:szCs w:val="28"/>
        </w:rPr>
        <w:t xml:space="preserve">п.).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Приложения необходимо располагать в порядке появления ссылок в тексте работы.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</w:r>
      <w:r>
        <w:rPr>
          <w:rFonts w:eastAsia="TimesNewRoman"/>
          <w:color w:val="000000"/>
          <w:sz w:val="28"/>
          <w:szCs w:val="28"/>
        </w:rPr>
      </w:r>
    </w:p>
    <w:p>
      <w:pPr>
        <w:pStyle w:val="801"/>
        <w:ind w:firstLine="709"/>
        <w:jc w:val="center"/>
        <w:spacing w:before="0" w:after="0"/>
        <w:rPr>
          <w:rFonts w:ascii="Times New Roman" w:hAnsi="Times New Roman"/>
          <w:color w:val="000000"/>
          <w:sz w:val="28"/>
          <w:szCs w:val="28"/>
        </w:rPr>
      </w:pPr>
      <w:r/>
      <w:bookmarkStart w:id="4" w:name="_Toc1405686"/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>
        <w:rPr>
          <w:rFonts w:ascii="Times New Roman" w:hAnsi="Times New Roman"/>
          <w:color w:val="000000"/>
          <w:sz w:val="28"/>
          <w:szCs w:val="28"/>
        </w:rPr>
        <w:t xml:space="preserve">ТРЕБОВАНИЯ К </w:t>
      </w:r>
      <w:r>
        <w:rPr>
          <w:rFonts w:ascii="Times New Roman" w:hAnsi="Times New Roman"/>
          <w:color w:val="000000"/>
          <w:sz w:val="28"/>
          <w:szCs w:val="28"/>
        </w:rPr>
        <w:t xml:space="preserve">ОФОРМЛЕНИ</w:t>
      </w:r>
      <w:r>
        <w:rPr>
          <w:rFonts w:ascii="Times New Roman" w:hAnsi="Times New Roman"/>
          <w:color w:val="000000"/>
          <w:sz w:val="28"/>
          <w:szCs w:val="28"/>
        </w:rPr>
        <w:t xml:space="preserve">Ю</w:t>
      </w:r>
      <w:r>
        <w:rPr>
          <w:rFonts w:ascii="Times New Roman" w:hAnsi="Times New Roman"/>
          <w:color w:val="000000"/>
          <w:sz w:val="28"/>
          <w:szCs w:val="28"/>
        </w:rPr>
        <w:t xml:space="preserve"> КУРСОВОЙ РАБОТЫ</w:t>
      </w:r>
      <w:bookmarkEnd w:id="4"/>
      <w:r/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Типовые требования к оформлению курсовой работы определяют обязательные к применению стандарты: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ГОСТ 7.32.-2017 Отчет о научно-исследовательской работе. Структура и правила оформления (в части оформления тестового материала, таблиц и рисунков); </w:t>
      </w:r>
      <w:r>
        <w:rPr>
          <w:rFonts w:eastAsia="TimesNewRoman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ГОСТ 7.0.100-2018 Библиографическая запись. Библиографическое описание. Общие требования и правила составления; </w:t>
      </w:r>
      <w:r>
        <w:rPr>
          <w:rFonts w:eastAsia="TimesNewRoman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ГОСТ Р 7.0.5-2008 Библиографическая ссылка. Общие требования и правила составления.</w:t>
      </w:r>
      <w:r>
        <w:rPr>
          <w:rFonts w:eastAsia="TimesNewRoman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Курсовая работа должна быть оформлена в соответствии с предъявляемыми требованиями и загружена </w:t>
      </w:r>
      <w:r>
        <w:rPr>
          <w:rFonts w:eastAsia="TimesNewRoman"/>
          <w:color w:val="000000"/>
          <w:sz w:val="28"/>
          <w:szCs w:val="28"/>
        </w:rPr>
        <w:t xml:space="preserve">студентом </w:t>
      </w:r>
      <w:r>
        <w:rPr>
          <w:rFonts w:eastAsia="TimesNewRoman"/>
          <w:color w:val="000000"/>
          <w:sz w:val="28"/>
          <w:szCs w:val="28"/>
        </w:rPr>
        <w:t xml:space="preserve">в </w:t>
      </w:r>
      <w:r>
        <w:rPr>
          <w:rFonts w:eastAsia="TimesNewRoman"/>
          <w:color w:val="000000"/>
          <w:sz w:val="28"/>
          <w:szCs w:val="28"/>
        </w:rPr>
        <w:t xml:space="preserve">Личный кабинет</w:t>
      </w:r>
      <w:r>
        <w:rPr>
          <w:rFonts w:eastAsia="TimesNewRoman"/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Курсовая работа оформляется в электронном виде в формате Microsoft Word.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b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Название файла должно иметь наименование в следующем формате:</w:t>
      </w:r>
      <w:r>
        <w:rPr>
          <w:rFonts w:eastAsia="TimesNewRoman"/>
          <w:b/>
          <w:color w:val="000000"/>
          <w:sz w:val="28"/>
          <w:szCs w:val="28"/>
        </w:rPr>
        <w:t xml:space="preserve"> Курсовая работа_Иванов И.И.</w:t>
      </w:r>
      <w:r>
        <w:rPr>
          <w:rFonts w:eastAsia="TimesNewRoman"/>
          <w:b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b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 этом, объем курсовой работы не должен превышать </w:t>
      </w:r>
      <w:r>
        <w:rPr>
          <w:color w:val="000000"/>
          <w:sz w:val="28"/>
          <w:szCs w:val="28"/>
        </w:rPr>
        <w:t xml:space="preserve">5000 </w:t>
      </w:r>
      <w:r>
        <w:rPr>
          <w:rFonts w:eastAsia="TimesNewRoman"/>
          <w:color w:val="000000"/>
          <w:sz w:val="28"/>
          <w:szCs w:val="28"/>
        </w:rPr>
        <w:t xml:space="preserve">слов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исключая пробелы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рисунки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схемы и приложения </w:t>
      </w:r>
      <w:r>
        <w:rPr>
          <w:color w:val="000000"/>
          <w:sz w:val="28"/>
          <w:szCs w:val="28"/>
        </w:rPr>
        <w:t xml:space="preserve">(от 25 </w:t>
      </w:r>
      <w:r>
        <w:rPr>
          <w:rFonts w:eastAsia="TimesNewRoman"/>
          <w:color w:val="000000"/>
          <w:sz w:val="28"/>
          <w:szCs w:val="28"/>
        </w:rPr>
        <w:t xml:space="preserve">до </w:t>
      </w:r>
      <w:r>
        <w:rPr>
          <w:color w:val="000000"/>
          <w:sz w:val="28"/>
          <w:szCs w:val="28"/>
        </w:rPr>
        <w:t xml:space="preserve">30 </w:t>
      </w:r>
      <w:r>
        <w:rPr>
          <w:rFonts w:eastAsia="TimesNewRoman"/>
          <w:color w:val="000000"/>
          <w:sz w:val="28"/>
          <w:szCs w:val="28"/>
        </w:rPr>
        <w:t xml:space="preserve">страниц шрифтом</w:t>
      </w:r>
      <w:r>
        <w:rPr>
          <w:color w:val="000000"/>
          <w:sz w:val="28"/>
          <w:szCs w:val="28"/>
        </w:rPr>
        <w:t xml:space="preserve"> Times New Roman, </w:t>
      </w:r>
      <w:r>
        <w:rPr>
          <w:rFonts w:eastAsia="TimesNewRoman"/>
          <w:color w:val="000000"/>
          <w:sz w:val="28"/>
          <w:szCs w:val="28"/>
        </w:rPr>
        <w:t xml:space="preserve">размер </w:t>
      </w:r>
      <w:r>
        <w:rPr>
          <w:color w:val="000000"/>
          <w:sz w:val="28"/>
          <w:szCs w:val="28"/>
        </w:rPr>
        <w:t xml:space="preserve">14, </w:t>
      </w:r>
      <w:r>
        <w:rPr>
          <w:rFonts w:eastAsia="TimesNewRoman"/>
          <w:color w:val="000000"/>
          <w:sz w:val="28"/>
          <w:szCs w:val="28"/>
        </w:rPr>
        <w:t xml:space="preserve">межстрочный интервал </w:t>
      </w:r>
      <w:r>
        <w:rPr>
          <w:color w:val="000000"/>
          <w:sz w:val="28"/>
          <w:szCs w:val="28"/>
        </w:rPr>
        <w:t xml:space="preserve">– 1,5;</w:t>
      </w:r>
      <w:r>
        <w:rPr>
          <w:rFonts w:eastAsia="TimesNewRoman"/>
          <w:color w:val="000000"/>
          <w:sz w:val="28"/>
          <w:szCs w:val="28"/>
        </w:rPr>
        <w:t xml:space="preserve"> для сносок и подстрочных пояснений межстрочный интервал – 1, шрифт </w:t>
      </w:r>
      <w:r>
        <w:rPr>
          <w:rFonts w:eastAsia="TimesNewRoman"/>
          <w:color w:val="000000"/>
          <w:sz w:val="28"/>
          <w:szCs w:val="28"/>
          <w:lang w:val="en-US"/>
        </w:rPr>
        <w:t xml:space="preserve">TNR</w:t>
      </w:r>
      <w:r>
        <w:rPr>
          <w:rFonts w:eastAsia="TimesNewRoman"/>
          <w:color w:val="000000"/>
          <w:sz w:val="28"/>
          <w:szCs w:val="28"/>
        </w:rPr>
        <w:t xml:space="preserve">, размер – 10</w:t>
      </w:r>
      <w:r>
        <w:rPr>
          <w:color w:val="000000"/>
          <w:sz w:val="28"/>
          <w:szCs w:val="28"/>
        </w:rPr>
        <w:t xml:space="preserve">). </w:t>
      </w:r>
      <w:r>
        <w:rPr>
          <w:b/>
          <w:color w:val="000000"/>
          <w:sz w:val="28"/>
          <w:szCs w:val="28"/>
        </w:rPr>
        <w:t xml:space="preserve">Существенное о</w:t>
      </w:r>
      <w:r>
        <w:rPr>
          <w:rFonts w:eastAsia="TimesNewRoman"/>
          <w:b/>
          <w:color w:val="000000"/>
          <w:sz w:val="28"/>
          <w:szCs w:val="28"/>
        </w:rPr>
        <w:t xml:space="preserve">тклонение от объема работы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eastAsia="TimesNewRoman"/>
          <w:b/>
          <w:color w:val="000000"/>
          <w:sz w:val="28"/>
          <w:szCs w:val="28"/>
        </w:rPr>
        <w:t xml:space="preserve">является серьезным нарушением и влечет за собой снижение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eastAsia="TimesNewRoman"/>
          <w:b/>
          <w:color w:val="000000"/>
          <w:sz w:val="28"/>
          <w:szCs w:val="28"/>
        </w:rPr>
        <w:t xml:space="preserve">оценки</w:t>
      </w:r>
      <w:r>
        <w:rPr>
          <w:b/>
          <w:color w:val="000000"/>
          <w:sz w:val="28"/>
          <w:szCs w:val="28"/>
        </w:rPr>
        <w:t xml:space="preserve">.</w:t>
      </w:r>
      <w:r>
        <w:rPr>
          <w:rFonts w:eastAsia="TimesNewRoman"/>
          <w:b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Размеры оставляемых полей – «Обычные»</w:t>
      </w:r>
      <w:r>
        <w:rPr>
          <w:color w:val="000000"/>
          <w:sz w:val="28"/>
          <w:szCs w:val="28"/>
        </w:rPr>
        <w:t xml:space="preserve">. Текст выравнивается по ширине страницы. </w:t>
      </w:r>
      <w:r>
        <w:rPr>
          <w:rFonts w:eastAsia="TimesNewRoman"/>
          <w:color w:val="000000"/>
          <w:sz w:val="28"/>
          <w:szCs w:val="28"/>
        </w:rPr>
        <w:t xml:space="preserve">Сноски должны иметь сквозную нумерацию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  <w:t xml:space="preserve"> Расстояние между названием части работы или главы и последующим текстом должно быть равно двум межстрочным интервалам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Фразы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начинающиеся с </w:t>
      </w:r>
      <w:r>
        <w:rPr>
          <w:color w:val="000000"/>
          <w:sz w:val="28"/>
          <w:szCs w:val="28"/>
        </w:rPr>
        <w:t xml:space="preserve">«</w:t>
      </w:r>
      <w:r>
        <w:rPr>
          <w:rFonts w:eastAsia="TimesNewRoman"/>
          <w:color w:val="000000"/>
          <w:sz w:val="28"/>
          <w:szCs w:val="28"/>
        </w:rPr>
        <w:t xml:space="preserve">красной</w:t>
      </w:r>
      <w:r>
        <w:rPr>
          <w:color w:val="000000"/>
          <w:sz w:val="28"/>
          <w:szCs w:val="28"/>
        </w:rPr>
        <w:t xml:space="preserve">» </w:t>
      </w:r>
      <w:r>
        <w:rPr>
          <w:rFonts w:eastAsia="TimesNewRoman"/>
          <w:color w:val="000000"/>
          <w:sz w:val="28"/>
          <w:szCs w:val="28"/>
        </w:rPr>
        <w:t xml:space="preserve">строки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печатаются с абзацным отступом от начала</w:t>
      </w:r>
      <w:r>
        <w:rPr>
          <w:color w:val="000000"/>
          <w:sz w:val="28"/>
          <w:szCs w:val="28"/>
        </w:rPr>
        <w:t xml:space="preserve">,</w:t>
      </w:r>
      <w:r>
        <w:rPr>
          <w:rFonts w:eastAsia="TimesNewRoman"/>
          <w:color w:val="000000"/>
          <w:sz w:val="28"/>
          <w:szCs w:val="28"/>
        </w:rPr>
        <w:t xml:space="preserve"> равным </w:t>
      </w:r>
      <w:r>
        <w:rPr>
          <w:color w:val="000000"/>
          <w:sz w:val="28"/>
          <w:szCs w:val="28"/>
        </w:rPr>
        <w:t xml:space="preserve">1,25 </w:t>
      </w:r>
      <w:r>
        <w:rPr>
          <w:rFonts w:eastAsia="TimesNewRoman"/>
          <w:color w:val="000000"/>
          <w:sz w:val="28"/>
          <w:szCs w:val="28"/>
        </w:rPr>
        <w:t xml:space="preserve">см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Текст глав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курсовой работы должен распределяться на параграфы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  <w:t xml:space="preserve"> Главы должны быть пронумерованы римскими цифрами в пределах всей работы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«</w:t>
      </w:r>
      <w:r>
        <w:rPr>
          <w:rFonts w:eastAsia="TimesNewRoman"/>
          <w:sz w:val="28"/>
          <w:szCs w:val="28"/>
        </w:rPr>
        <w:t xml:space="preserve">Введение</w:t>
      </w:r>
      <w:r>
        <w:rPr>
          <w:sz w:val="28"/>
          <w:szCs w:val="28"/>
        </w:rPr>
        <w:t xml:space="preserve">» </w:t>
      </w:r>
      <w:r>
        <w:rPr>
          <w:rFonts w:eastAsia="TimesNewRoman"/>
          <w:sz w:val="28"/>
          <w:szCs w:val="28"/>
        </w:rPr>
        <w:t xml:space="preserve">и </w:t>
      </w:r>
      <w:r>
        <w:rPr>
          <w:sz w:val="28"/>
          <w:szCs w:val="28"/>
        </w:rPr>
        <w:t xml:space="preserve">«</w:t>
      </w:r>
      <w:r>
        <w:rPr>
          <w:rFonts w:eastAsia="TimesNewRoman"/>
          <w:sz w:val="28"/>
          <w:szCs w:val="28"/>
        </w:rPr>
        <w:t xml:space="preserve">Заключение</w:t>
      </w:r>
      <w:r>
        <w:rPr>
          <w:sz w:val="28"/>
          <w:szCs w:val="28"/>
        </w:rPr>
        <w:t xml:space="preserve">» </w:t>
      </w:r>
      <w:r>
        <w:rPr>
          <w:rFonts w:eastAsia="TimesNewRoman"/>
          <w:sz w:val="28"/>
          <w:szCs w:val="28"/>
        </w:rPr>
        <w:t xml:space="preserve">не нумеруются</w:t>
      </w:r>
      <w:r>
        <w:rPr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Параграф нумеруется арабскими цифрами в пределах каждой главы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Номер параграфа должен состоять из номера главы и номера параграфа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разделенный точкой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В конце номера параграфа также следует ставить точку</w:t>
      </w:r>
      <w:r>
        <w:rPr>
          <w:color w:val="000000"/>
          <w:sz w:val="28"/>
          <w:szCs w:val="28"/>
        </w:rPr>
        <w:t xml:space="preserve">,</w:t>
      </w:r>
      <w:r>
        <w:rPr>
          <w:rFonts w:eastAsia="TimesNewRoman"/>
          <w:color w:val="000000"/>
          <w:sz w:val="28"/>
          <w:szCs w:val="28"/>
        </w:rPr>
        <w:t xml:space="preserve"> например</w:t>
      </w:r>
      <w:r>
        <w:rPr>
          <w:color w:val="000000"/>
          <w:sz w:val="28"/>
          <w:szCs w:val="28"/>
        </w:rPr>
        <w:t xml:space="preserve">, «2.1.» (</w:t>
      </w:r>
      <w:r>
        <w:rPr>
          <w:rFonts w:eastAsia="TimesNewRoman"/>
          <w:color w:val="000000"/>
          <w:sz w:val="28"/>
          <w:szCs w:val="28"/>
        </w:rPr>
        <w:t xml:space="preserve">первый параграф второй главы</w:t>
      </w:r>
      <w:r>
        <w:rPr>
          <w:color w:val="000000"/>
          <w:sz w:val="28"/>
          <w:szCs w:val="28"/>
        </w:rPr>
        <w:t xml:space="preserve">). </w:t>
      </w:r>
      <w:r>
        <w:rPr>
          <w:rFonts w:eastAsia="TimesNewRoman"/>
          <w:color w:val="000000"/>
          <w:sz w:val="28"/>
          <w:szCs w:val="28"/>
        </w:rPr>
        <w:t xml:space="preserve">Номер соответствующей главы или параграфа ставится в начале заголовка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Каждая глава должна содержать 2-3 параграфа.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Заголовки глав</w:t>
      </w:r>
      <w:r>
        <w:rPr>
          <w:color w:val="000000"/>
          <w:sz w:val="28"/>
          <w:szCs w:val="28"/>
        </w:rPr>
        <w:t xml:space="preserve">, з</w:t>
      </w:r>
      <w:r>
        <w:rPr>
          <w:rFonts w:eastAsia="TimesNewRoman"/>
          <w:color w:val="000000"/>
          <w:sz w:val="28"/>
          <w:szCs w:val="28"/>
        </w:rPr>
        <w:t xml:space="preserve">аголовки параграфов, а также слова </w:t>
      </w:r>
      <w:r>
        <w:rPr>
          <w:color w:val="000000"/>
          <w:sz w:val="28"/>
          <w:szCs w:val="28"/>
        </w:rPr>
        <w:t xml:space="preserve">«</w:t>
      </w:r>
      <w:r>
        <w:rPr>
          <w:rFonts w:eastAsia="TimesNewRoman"/>
          <w:color w:val="000000"/>
          <w:sz w:val="28"/>
          <w:szCs w:val="28"/>
        </w:rPr>
        <w:t xml:space="preserve">Оглавление</w:t>
      </w:r>
      <w:r>
        <w:rPr>
          <w:color w:val="000000"/>
          <w:sz w:val="28"/>
          <w:szCs w:val="28"/>
        </w:rPr>
        <w:t xml:space="preserve">», «</w:t>
      </w:r>
      <w:r>
        <w:rPr>
          <w:rFonts w:eastAsia="TimesNewRoman"/>
          <w:color w:val="000000"/>
          <w:sz w:val="28"/>
          <w:szCs w:val="28"/>
        </w:rPr>
        <w:t xml:space="preserve">Введение</w:t>
      </w:r>
      <w:r>
        <w:rPr>
          <w:color w:val="000000"/>
          <w:sz w:val="28"/>
          <w:szCs w:val="28"/>
        </w:rPr>
        <w:t xml:space="preserve">», «</w:t>
      </w:r>
      <w:r>
        <w:rPr>
          <w:rFonts w:eastAsia="TimesNewRoman"/>
          <w:color w:val="000000"/>
          <w:sz w:val="28"/>
          <w:szCs w:val="28"/>
        </w:rPr>
        <w:t xml:space="preserve">Заключение</w:t>
      </w:r>
      <w:r>
        <w:rPr>
          <w:rFonts w:eastAsia="TimesNewRoman"/>
          <w:color w:val="000000"/>
          <w:sz w:val="28"/>
          <w:szCs w:val="28"/>
        </w:rPr>
        <w:t xml:space="preserve">» и т.п.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пишутся ПРОПИСНЫМИ буквами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и </w:t>
      </w:r>
      <w:r>
        <w:rPr>
          <w:rFonts w:eastAsia="TimesNewRoman"/>
          <w:color w:val="000000"/>
          <w:sz w:val="28"/>
          <w:szCs w:val="28"/>
        </w:rPr>
        <w:t xml:space="preserve">располага</w:t>
      </w:r>
      <w:r>
        <w:rPr>
          <w:rFonts w:eastAsia="TimesNewRoman"/>
          <w:color w:val="000000"/>
          <w:sz w:val="28"/>
          <w:szCs w:val="28"/>
        </w:rPr>
        <w:t xml:space="preserve">ются</w:t>
      </w:r>
      <w:r>
        <w:rPr>
          <w:rFonts w:eastAsia="TimesNewRoman"/>
          <w:color w:val="000000"/>
          <w:sz w:val="28"/>
          <w:szCs w:val="28"/>
        </w:rPr>
        <w:t xml:space="preserve"> посередине строки без точки в конце.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Подчеркивать заголовки и переносить слова в заголовках запрещается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Каждую главу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следует начинать с нового листа </w:t>
      </w:r>
      <w:r>
        <w:rPr>
          <w:color w:val="000000"/>
          <w:sz w:val="28"/>
          <w:szCs w:val="28"/>
        </w:rPr>
        <w:t xml:space="preserve">(</w:t>
      </w:r>
      <w:r>
        <w:rPr>
          <w:rFonts w:eastAsia="TimesNewRoman"/>
          <w:color w:val="000000"/>
          <w:sz w:val="28"/>
          <w:szCs w:val="28"/>
        </w:rPr>
        <w:t xml:space="preserve">страницы</w:t>
      </w:r>
      <w:r>
        <w:rPr>
          <w:color w:val="000000"/>
          <w:sz w:val="28"/>
          <w:szCs w:val="28"/>
        </w:rPr>
        <w:t xml:space="preserve">), </w:t>
      </w:r>
      <w:r>
        <w:rPr>
          <w:rFonts w:eastAsia="TimesNewRoman"/>
          <w:color w:val="000000"/>
          <w:sz w:val="28"/>
          <w:szCs w:val="28"/>
        </w:rPr>
        <w:t xml:space="preserve">а параграфы продолжать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отступив от предыдущего текста два межстрочных интервала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ascii="Arial" w:hAnsi="Arial" w:cs="Arial"/>
          <w:color w:val="444444"/>
          <w:shd w:val="clear" w:color="auto" w:fill="ffffff"/>
        </w:rPr>
      </w:pPr>
      <w:r>
        <w:rPr>
          <w:rFonts w:eastAsia="TimesNewRoman"/>
          <w:color w:val="000000"/>
          <w:sz w:val="28"/>
          <w:szCs w:val="28"/>
        </w:rPr>
        <w:t xml:space="preserve">Страницы курсовой работы следует нумеровать арабскими цифрами, соблюдая сквозную нумерацию по всему тексту. Номер страницы проставляется в центре нижней части страницы без точки.</w:t>
      </w:r>
      <w:r>
        <w:rPr>
          <w:rFonts w:ascii="Arial" w:hAnsi="Arial" w:cs="Arial"/>
          <w:color w:val="444444"/>
          <w:shd w:val="clear" w:color="auto" w:fill="ffffff"/>
        </w:rPr>
        <w:t xml:space="preserve"> </w:t>
      </w:r>
      <w:r>
        <w:rPr>
          <w:rFonts w:ascii="Arial" w:hAnsi="Arial" w:cs="Arial"/>
          <w:color w:val="444444"/>
          <w:shd w:val="clear" w:color="auto" w:fill="ffffff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</w:t>
      </w:r>
      <w:r>
        <w:rPr>
          <w:rFonts w:eastAsia="TimesNewRoman"/>
          <w:color w:val="000000"/>
          <w:sz w:val="28"/>
          <w:szCs w:val="28"/>
        </w:rPr>
        <w:t xml:space="preserve">ервой страницей является титульный лист</w:t>
      </w:r>
      <w:r>
        <w:rPr>
          <w:rFonts w:eastAsia="TimesNewRoman"/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После титульного листа помещается </w:t>
      </w:r>
      <w:r>
        <w:rPr>
          <w:rFonts w:eastAsia="TimesNewRoman"/>
          <w:b/>
          <w:color w:val="000000"/>
          <w:sz w:val="28"/>
          <w:szCs w:val="28"/>
        </w:rPr>
        <w:t xml:space="preserve">автособираемое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b/>
          <w:color w:val="000000"/>
          <w:sz w:val="28"/>
          <w:szCs w:val="28"/>
        </w:rPr>
        <w:t xml:space="preserve">оглавление </w:t>
      </w:r>
      <w:r>
        <w:rPr>
          <w:rFonts w:eastAsia="TimesNewRoman"/>
          <w:color w:val="000000"/>
          <w:sz w:val="28"/>
          <w:szCs w:val="28"/>
        </w:rPr>
        <w:t xml:space="preserve">с указанием номеров страниц.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Титульный лист включается в нумерацию страниц,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однако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номер страницы </w:t>
      </w:r>
      <w:r>
        <w:rPr>
          <w:rFonts w:eastAsia="TimesNewRoman"/>
          <w:color w:val="000000"/>
          <w:sz w:val="28"/>
          <w:szCs w:val="28"/>
        </w:rPr>
        <w:t xml:space="preserve">на нем </w:t>
      </w:r>
      <w:r>
        <w:rPr>
          <w:rFonts w:eastAsia="TimesNewRoman"/>
          <w:color w:val="000000"/>
          <w:sz w:val="28"/>
          <w:szCs w:val="28"/>
        </w:rPr>
        <w:t xml:space="preserve">не </w:t>
      </w:r>
      <w:r>
        <w:rPr>
          <w:rFonts w:eastAsia="TimesNewRoman"/>
          <w:color w:val="000000"/>
          <w:sz w:val="28"/>
          <w:szCs w:val="28"/>
        </w:rPr>
        <w:t xml:space="preserve">проставляется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Не допускается сокращение слов и наименований документов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а также перенасыщение текста специальными терминами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затрудняющими чтение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Приводимый цифровой аналитический материал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помещается в таблицы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которые нумеруются по тексту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Иллюстрации </w:t>
      </w:r>
      <w:r>
        <w:rPr>
          <w:color w:val="000000"/>
          <w:sz w:val="28"/>
          <w:szCs w:val="28"/>
        </w:rPr>
        <w:t xml:space="preserve">(</w:t>
      </w:r>
      <w:r>
        <w:rPr>
          <w:rFonts w:eastAsia="TimesNewRoman"/>
          <w:color w:val="000000"/>
          <w:sz w:val="28"/>
          <w:szCs w:val="28"/>
        </w:rPr>
        <w:t xml:space="preserve">чертежи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графики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схемы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диаграммы и др</w:t>
      </w:r>
      <w:r>
        <w:rPr>
          <w:color w:val="000000"/>
          <w:sz w:val="28"/>
          <w:szCs w:val="28"/>
        </w:rPr>
        <w:t xml:space="preserve">.) </w:t>
      </w:r>
      <w:r>
        <w:rPr>
          <w:rFonts w:eastAsia="TimesNewRoman"/>
          <w:color w:val="000000"/>
          <w:sz w:val="28"/>
          <w:szCs w:val="28"/>
        </w:rPr>
        <w:t xml:space="preserve">следует располагать непосредственно после текста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в котором они упоминаются впервые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или на следующей странице</w:t>
      </w:r>
      <w:r>
        <w:rPr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На все иллюстрации должны быть ссылки в тексте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Цифровой материал, как правило, должен оформляться в виде таблицы</w:t>
      </w:r>
      <w:r>
        <w:rPr>
          <w:rFonts w:eastAsia="TimesNewRoman"/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  <w:t xml:space="preserve"> Таблицу следует располагать в работе непосредственно после текста, в котором она упоминается впервые, или на следующей странице. На все таблицы должны быть ссылки в тексте.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Все таблицы и рисунки, если их несколько, имеют сквозную </w:t>
      </w:r>
      <w:r>
        <w:rPr>
          <w:rFonts w:eastAsia="TimesNewRoman"/>
          <w:color w:val="000000"/>
          <w:sz w:val="28"/>
          <w:szCs w:val="28"/>
        </w:rPr>
        <w:t xml:space="preserve">нумерацию в пределах всего текста. Ес</w:t>
      </w:r>
      <w:r>
        <w:rPr>
          <w:rFonts w:eastAsia="TimesNewRoman"/>
          <w:color w:val="000000"/>
          <w:sz w:val="28"/>
          <w:szCs w:val="28"/>
        </w:rPr>
        <w:t xml:space="preserve">ли информация, приводимая в таблице, заимствована из каких-либо источников, то после названия таблицы необходимо поставить ссылку. Данные в таблице должны быть представлены шрифтом 12 размера и одинарным межстрочным интервалом без отступа (красной строки).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Если таблица имеет большой размер, то ее необходимо поместить в приложение. Если все</w:t>
      </w:r>
      <w:r>
        <w:rPr>
          <w:rFonts w:eastAsia="TimesNewRoman"/>
          <w:color w:val="000000"/>
          <w:sz w:val="28"/>
          <w:szCs w:val="28"/>
        </w:rPr>
        <w:t xml:space="preserve"> же размещение таблицы в тексте признано более целесообразным, то она переносится на следующие страницы с автопереносом шапки таблицы с использование команды «Повторять как заголовок на каждой странице» с использованием функции MC Word «Свойства таблицы».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В названии таблицы или в строке, содержащей наименование показателей, должны быть указаны единицы измерения приводимых значений (например, тыс. руб., млн руб.).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Таблица 1 - Прогнозные показатели расходов в 201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– 20</w:t>
      </w:r>
      <w:r>
        <w:rPr>
          <w:sz w:val="28"/>
          <w:szCs w:val="28"/>
        </w:rPr>
        <w:t xml:space="preserve">21</w:t>
      </w:r>
      <w:r>
        <w:rPr>
          <w:sz w:val="28"/>
          <w:szCs w:val="28"/>
        </w:rPr>
        <w:t xml:space="preserve"> гг., тыс. руб.</w:t>
      </w:r>
      <w:r>
        <w:rPr>
          <w:sz w:val="28"/>
          <w:szCs w:val="28"/>
        </w:rPr>
      </w:r>
    </w:p>
    <w:tbl>
      <w:tblPr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00"/>
        <w:gridCol w:w="2160"/>
        <w:gridCol w:w="2340"/>
        <w:gridCol w:w="2160"/>
      </w:tblGrid>
      <w:tr>
        <w:trPr>
          <w:jc w:val="center"/>
          <w:tblHeader/>
        </w:trPr>
        <w:tc>
          <w:tcPr>
            <w:shd w:val="clear" w:color="auto" w:fill="d9d9d9"/>
            <w:tcW w:w="2700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Показатель</w:t>
            </w:r>
            <w:r>
              <w:rPr>
                <w:b/>
                <w:color w:val="000000"/>
              </w:rPr>
            </w:r>
          </w:p>
        </w:tc>
        <w:tc>
          <w:tcPr>
            <w:shd w:val="clear" w:color="auto" w:fill="d9d9d9"/>
            <w:tcW w:w="2160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201</w:t>
            </w:r>
            <w:r>
              <w:rPr>
                <w:b/>
                <w:color w:val="000000"/>
              </w:rPr>
              <w:t xml:space="preserve">9</w:t>
            </w:r>
            <w:r>
              <w:rPr>
                <w:b/>
                <w:color w:val="000000"/>
              </w:rPr>
              <w:t xml:space="preserve"> г.</w:t>
            </w:r>
            <w:r>
              <w:rPr>
                <w:b/>
                <w:color w:val="000000"/>
              </w:rPr>
            </w:r>
          </w:p>
        </w:tc>
        <w:tc>
          <w:tcPr>
            <w:shd w:val="clear" w:color="auto" w:fill="d9d9d9"/>
            <w:tcW w:w="2340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20</w:t>
            </w:r>
            <w:r>
              <w:rPr>
                <w:b/>
                <w:color w:val="000000"/>
              </w:rPr>
              <w:t xml:space="preserve">20</w:t>
            </w:r>
            <w:r>
              <w:rPr>
                <w:b/>
                <w:color w:val="000000"/>
              </w:rPr>
              <w:t xml:space="preserve"> г.</w:t>
            </w:r>
            <w:r>
              <w:rPr>
                <w:b/>
                <w:color w:val="000000"/>
              </w:rPr>
            </w:r>
          </w:p>
        </w:tc>
        <w:tc>
          <w:tcPr>
            <w:shd w:val="clear" w:color="auto" w:fill="d9d9d9"/>
            <w:tcW w:w="2160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20</w:t>
            </w:r>
            <w:r>
              <w:rPr>
                <w:b/>
                <w:color w:val="000000"/>
              </w:rPr>
              <w:t xml:space="preserve">21</w:t>
            </w:r>
            <w:r>
              <w:rPr>
                <w:b/>
                <w:color w:val="000000"/>
              </w:rPr>
              <w:t xml:space="preserve"> г.</w:t>
            </w:r>
            <w:r>
              <w:rPr>
                <w:b/>
                <w:color w:val="000000"/>
              </w:rPr>
            </w:r>
          </w:p>
        </w:tc>
      </w:tr>
      <w:tr>
        <w:trPr>
          <w:jc w:val="center"/>
        </w:trPr>
        <w:tc>
          <w:tcPr>
            <w:tcW w:w="2700" w:type="dxa"/>
            <w:textDirection w:val="lrTb"/>
            <w:noWrap w:val="false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Переменные расходы (тыс. руб.)</w:t>
            </w:r>
            <w:r>
              <w:rPr>
                <w:color w:val="000000"/>
              </w:rPr>
            </w:r>
          </w:p>
        </w:tc>
        <w:tc>
          <w:tcPr>
            <w:tcW w:w="21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711 893</w:t>
            </w:r>
            <w:r>
              <w:rPr>
                <w:color w:val="000000"/>
              </w:rPr>
            </w:r>
          </w:p>
        </w:tc>
        <w:tc>
          <w:tcPr>
            <w:tcW w:w="234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889 867</w:t>
            </w:r>
            <w:r>
              <w:rPr>
                <w:color w:val="000000"/>
              </w:rPr>
            </w:r>
          </w:p>
        </w:tc>
        <w:tc>
          <w:tcPr>
            <w:tcW w:w="21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1 156 827</w:t>
            </w:r>
            <w:r>
              <w:rPr>
                <w:color w:val="000000"/>
              </w:rPr>
            </w:r>
          </w:p>
        </w:tc>
      </w:tr>
      <w:tr>
        <w:trPr>
          <w:jc w:val="center"/>
        </w:trPr>
        <w:tc>
          <w:tcPr>
            <w:tcW w:w="2700" w:type="dxa"/>
            <w:textDirection w:val="lrTb"/>
            <w:noWrap w:val="false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Просроченная ссудная задолженность, тыс. руб. (2%)</w:t>
            </w:r>
            <w:r>
              <w:rPr>
                <w:color w:val="000000"/>
              </w:rPr>
            </w:r>
          </w:p>
        </w:tc>
        <w:tc>
          <w:tcPr>
            <w:tcW w:w="21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113 157</w:t>
            </w:r>
            <w:r>
              <w:rPr>
                <w:color w:val="000000"/>
              </w:rPr>
            </w:r>
          </w:p>
        </w:tc>
        <w:tc>
          <w:tcPr>
            <w:tcW w:w="234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141 446</w:t>
            </w:r>
            <w:r>
              <w:rPr>
                <w:color w:val="000000"/>
              </w:rPr>
            </w:r>
          </w:p>
        </w:tc>
        <w:tc>
          <w:tcPr>
            <w:tcW w:w="21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183 880</w:t>
            </w:r>
            <w:r>
              <w:rPr>
                <w:color w:val="000000"/>
              </w:rPr>
            </w:r>
          </w:p>
        </w:tc>
      </w:tr>
      <w:tr>
        <w:trPr>
          <w:jc w:val="center"/>
        </w:trPr>
        <w:tc>
          <w:tcPr>
            <w:tcW w:w="2700" w:type="dxa"/>
            <w:textDirection w:val="lrTb"/>
            <w:noWrap w:val="false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Резервы, тыс. руб. (11%)</w:t>
            </w:r>
            <w:r>
              <w:rPr>
                <w:color w:val="000000"/>
              </w:rPr>
            </w:r>
          </w:p>
        </w:tc>
        <w:tc>
          <w:tcPr>
            <w:tcW w:w="21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622 363</w:t>
            </w:r>
            <w:r>
              <w:rPr>
                <w:color w:val="000000"/>
              </w:rPr>
            </w:r>
          </w:p>
        </w:tc>
        <w:tc>
          <w:tcPr>
            <w:tcW w:w="234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777 954</w:t>
            </w:r>
            <w:r>
              <w:rPr>
                <w:color w:val="000000"/>
              </w:rPr>
            </w:r>
          </w:p>
        </w:tc>
        <w:tc>
          <w:tcPr>
            <w:tcW w:w="21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1 011 340</w:t>
            </w:r>
            <w:r>
              <w:rPr>
                <w:color w:val="000000"/>
              </w:rPr>
            </w:r>
          </w:p>
        </w:tc>
      </w:tr>
      <w:tr>
        <w:trPr>
          <w:jc w:val="center"/>
        </w:trPr>
        <w:tc>
          <w:tcPr>
            <w:tcW w:w="2700" w:type="dxa"/>
            <w:textDirection w:val="lrTb"/>
            <w:noWrap w:val="false"/>
          </w:tcPr>
          <w:p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Итого расходы, тыс. руб.</w:t>
            </w:r>
            <w:r>
              <w:rPr>
                <w:color w:val="000000"/>
              </w:rPr>
            </w:r>
          </w:p>
        </w:tc>
        <w:tc>
          <w:tcPr>
            <w:tcW w:w="21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1 447 413</w:t>
            </w:r>
            <w:r>
              <w:rPr>
                <w:color w:val="000000"/>
              </w:rPr>
            </w:r>
          </w:p>
        </w:tc>
        <w:tc>
          <w:tcPr>
            <w:tcW w:w="234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1 809 267</w:t>
            </w:r>
            <w:r>
              <w:rPr>
                <w:color w:val="000000"/>
              </w:rPr>
            </w:r>
          </w:p>
        </w:tc>
        <w:tc>
          <w:tcPr>
            <w:tcW w:w="2160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2 352 047</w:t>
            </w:r>
            <w:r>
              <w:rPr>
                <w:color w:val="000000"/>
              </w:rPr>
            </w:r>
          </w:p>
        </w:tc>
      </w:tr>
    </w:tbl>
    <w:p>
      <w:pPr>
        <w:ind w:firstLine="709"/>
        <w:jc w:val="both"/>
        <w:spacing w:line="360" w:lineRule="auto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Формулы следует располагать посередине строки и обозначать порядковой нумерацией в пределах всей курсовой работы арабскими цифрами в круглых скобках в крайнем правом положении на строке. Одну формулу обозначают (1).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Допускается нумерация формул в пределах раздела. В этом случае номер формулы состоит из номера раздела и порядкового номера формулы, разделенных точкой: (3.1).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Пояснение значений символов и числовых коэффициентов следует приводит</w:t>
      </w:r>
      <w:r>
        <w:rPr>
          <w:rFonts w:eastAsia="TimesNewRoman"/>
          <w:color w:val="000000"/>
          <w:sz w:val="28"/>
          <w:szCs w:val="28"/>
        </w:rPr>
        <w:t xml:space="preserve">ь непосредственно под формулой в той же последовательности, в которой они представлены в формуле. Значение каждого символа и числового коэффициента необходимо приводить с новой строки. Первую строку пояснения начинают со слова "где" без двоеточия с абзаца.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Если формул используется немного, то допускается сквозная нумерация по всей работе. Если в тексте используется большое количество формул, то нумерация указывается двойная: первая цифра отражает номер главы, вторая – ее порядковое положение в главе.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Оформление формул осуществляется с использованием функции </w:t>
      </w:r>
      <w:r>
        <w:rPr>
          <w:rFonts w:eastAsia="TimesNewRoman"/>
          <w:color w:val="000000"/>
          <w:sz w:val="28"/>
          <w:szCs w:val="28"/>
        </w:rPr>
        <w:t xml:space="preserve">«Формула» в программном комплексе Microsoft Word. Непосредственно под формулой приводится расшифровка смысла и значений символов.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b/>
          <w:i/>
          <w:color w:val="000000"/>
          <w:sz w:val="28"/>
          <w:szCs w:val="28"/>
        </w:rPr>
      </w:pPr>
      <w:r>
        <w:rPr>
          <w:rFonts w:eastAsia="TimesNewRoman"/>
          <w:b/>
          <w:i/>
          <w:color w:val="000000"/>
          <w:sz w:val="28"/>
          <w:szCs w:val="28"/>
        </w:rPr>
        <w:t xml:space="preserve">Пример оформления формул:</w:t>
      </w:r>
      <w:r>
        <w:rPr>
          <w:rFonts w:eastAsia="TimesNewRoman"/>
          <w:b/>
          <w:i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bCs/>
          <w:color w:val="000000"/>
          <w:sz w:val="28"/>
          <w:szCs w:val="28"/>
        </w:rPr>
        <w:t xml:space="preserve">Форвардная цена актива, по которому не выплачиваются доходы, рассчитывается по формуле: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right"/>
        <w:spacing w:line="360" w:lineRule="auto"/>
        <w:rPr>
          <w:rFonts w:eastAsia="TimesNewRoman"/>
          <w:bCs/>
          <w:color w:val="000000"/>
          <w:sz w:val="28"/>
          <w:szCs w:val="28"/>
        </w:rPr>
      </w:pPr>
      <w:r/>
      <m:oMath>
        <m:r>
          <w:rPr>
            <w:rFonts w:ascii="Cambria Math" w:hAnsi="Cambria Math"/>
            <w:sz w:val="28"/>
            <w:szCs w:val="28"/>
            <w:lang w:eastAsia="ar-SA"/>
          </w:rPr>
          <m:rPr>
            <m:sty m:val="p"/>
          </m:rPr>
          <m:t>F=S</m:t>
        </m:r>
        <m:d>
          <m:dPr>
            <m:ctrlPr>
              <w:rPr>
                <w:rFonts w:ascii="Cambria Math" w:hAnsi="Cambria Math"/>
                <w:bCs/>
                <w:sz w:val="28"/>
                <w:szCs w:val="28"/>
                <w:lang w:eastAsia="ar-SA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ar-SA"/>
              </w:rPr>
              <m:rPr>
                <m:sty m:val="p"/>
              </m:rPr>
              <m:t>1+</m:t>
            </m:r>
            <m:sSub>
              <m:sSubPr>
                <m:ctrlPr>
                  <w:rPr>
                    <w:rFonts w:ascii="Cambria Math" w:hAnsi="Cambria Math"/>
                    <w:bCs/>
                    <w:sz w:val="28"/>
                    <w:szCs w:val="28"/>
                    <w:lang w:eastAsia="ar-S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eastAsia="ar-SA"/>
                  </w:rPr>
                  <m:rPr>
                    <m:sty m:val="p"/>
                  </m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eastAsia="ar-SA"/>
                  </w:rPr>
                  <m:rPr>
                    <m:sty m:val="p"/>
                  </m:rPr>
                  <m:t>f </m:t>
                </m:r>
              </m:sub>
            </m:sSub>
            <m:f>
              <m:fPr>
                <m:ctrlPr>
                  <w:rPr>
                    <w:rFonts w:ascii="Cambria Math" w:hAnsi="Cambria Math"/>
                    <w:bCs/>
                    <w:sz w:val="28"/>
                    <w:szCs w:val="28"/>
                    <w:lang w:eastAsia="ar-SA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eastAsia="ar-SA"/>
                  </w:rPr>
                  <m:rPr>
                    <m:sty m:val="p"/>
                  </m:rPr>
                  <m:t>t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eastAsia="ar-SA"/>
                  </w:rPr>
                  <m:rPr>
                    <m:sty m:val="p"/>
                  </m:rPr>
                  <m:t>365</m:t>
                </m:r>
              </m:den>
            </m:f>
          </m:e>
        </m:d>
      </m:oMath>
      <w:r>
        <w:rPr>
          <w:rFonts w:eastAsia="TimesNewRoman"/>
          <w:bCs/>
          <w:color w:val="000000"/>
          <w:sz w:val="28"/>
          <w:szCs w:val="28"/>
        </w:rPr>
        <w:t xml:space="preserve"> ,                                           (1)</w:t>
      </w:r>
      <w:r>
        <w:rPr>
          <w:rFonts w:eastAsia="TimesNewRoman"/>
          <w:bCs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где: F – форвардная цена;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S – спотовая цена;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r</w:t>
      </w:r>
      <w:r>
        <w:rPr>
          <w:rFonts w:eastAsia="TimesNewRoman"/>
          <w:color w:val="000000"/>
          <w:sz w:val="28"/>
          <w:szCs w:val="28"/>
          <w:vertAlign w:val="subscript"/>
        </w:rPr>
        <w:t xml:space="preserve">f</w:t>
      </w:r>
      <w:r>
        <w:rPr>
          <w:rFonts w:eastAsia="TimesNewRoman"/>
          <w:color w:val="000000"/>
          <w:sz w:val="28"/>
          <w:szCs w:val="28"/>
        </w:rPr>
        <w:t xml:space="preserve">  – ставка без риска;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t – период времени до истечения форвардного контракта.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Иллюстрации – схемы и графики, именуемые рисунками, нумеруются сквозной нумерацией по всей работе, обозначаются арабскими цифрами. Если иллюстрация в работе единственная, то она не нумеруется.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Схемы в работе должны быть сгруппированы в единый объект. Иллюстрации следует располагать непосредственно после текстов, в которых они упоминаются впервые, или на следующей странице.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Ссылки на иллюстрации не следует оформлять как самостоятельные фразы, в которых лишь повторяется то, чт</w:t>
      </w:r>
      <w:r>
        <w:rPr>
          <w:rFonts w:eastAsia="TimesNewRoman"/>
          <w:color w:val="000000"/>
          <w:sz w:val="28"/>
          <w:szCs w:val="28"/>
        </w:rPr>
        <w:t xml:space="preserve">о содержится в подписи. В том месте, где речь идет о теме, связанной с иллюстрацией, помещают ссылку либо в виде заключенного в скобки выражения «(Рисунок 3)», либо в виде оборота типа: «…как это показано на рисунке 3» или «… как это следует из рисунка 3».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Каждую иллюстрацию необходимо снабжать подрисуночной подписью, которая должна соответствовать основному тексту и самой иллюстрации. Подпись под иллюстрацией имеет следующие основные элементы:</w:t>
      </w:r>
      <w:r>
        <w:rPr>
          <w:rFonts w:eastAsia="TimesNewRoman"/>
          <w:color w:val="000000"/>
          <w:sz w:val="28"/>
          <w:szCs w:val="28"/>
        </w:rPr>
      </w:r>
    </w:p>
    <w:p>
      <w:pPr>
        <w:numPr>
          <w:ilvl w:val="0"/>
          <w:numId w:val="21"/>
        </w:numPr>
        <w:ind w:left="0"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тематический заголовок иллюстрации, содержащий текст с характеристикой изображаемого объекта в наиболее краткой форме;</w:t>
      </w:r>
      <w:r>
        <w:rPr>
          <w:rFonts w:eastAsia="TimesNewRoman"/>
          <w:color w:val="000000"/>
          <w:sz w:val="28"/>
          <w:szCs w:val="28"/>
        </w:rPr>
      </w:r>
    </w:p>
    <w:p>
      <w:pPr>
        <w:numPr>
          <w:ilvl w:val="0"/>
          <w:numId w:val="21"/>
        </w:numPr>
        <w:ind w:left="0" w:firstLine="709"/>
        <w:jc w:val="both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ссылка на источник, откуда взят рисунок, если это необходимо.</w:t>
      </w:r>
      <w:r>
        <w:rPr>
          <w:rFonts w:eastAsia="TimesNewRoman"/>
          <w:color w:val="000000"/>
          <w:sz w:val="28"/>
          <w:szCs w:val="28"/>
        </w:rPr>
      </w:r>
    </w:p>
    <w:p>
      <w:pPr>
        <w:ind w:left="709"/>
        <w:jc w:val="both"/>
        <w:widowControl w:val="off"/>
        <w:tabs>
          <w:tab w:val="left" w:pos="1134" w:leader="none"/>
        </w:tabs>
        <w:rPr>
          <w:rFonts w:eastAsia="TimesNewRoman"/>
          <w:b/>
          <w:i/>
          <w:color w:val="000000"/>
          <w:sz w:val="28"/>
          <w:szCs w:val="28"/>
        </w:rPr>
      </w:pPr>
      <w:r>
        <w:rPr>
          <w:rFonts w:eastAsia="TimesNewRoman"/>
          <w:b/>
          <w:i/>
          <w:color w:val="000000"/>
          <w:sz w:val="28"/>
          <w:szCs w:val="28"/>
        </w:rPr>
        <w:t xml:space="preserve">Пример оформления графического материала (рисунка):</w:t>
      </w:r>
      <w:r>
        <w:rPr>
          <w:rFonts w:eastAsia="TimesNewRoman"/>
          <w:b/>
          <w:i/>
          <w:color w:val="000000"/>
          <w:sz w:val="28"/>
          <w:szCs w:val="28"/>
        </w:rPr>
      </w:r>
    </w:p>
    <w:p>
      <w:pPr>
        <w:contextualSpacing/>
        <w:ind w:firstLine="709"/>
        <w:jc w:val="both"/>
        <w:spacing w:line="360" w:lineRule="auto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</w:rPr>
        <w:drawing>
          <wp:inline distT="0" distB="0" distL="0" distR="0">
            <wp:extent cx="5486400" cy="2600696"/>
            <wp:effectExtent l="0" t="0" r="0" b="9525"/>
            <wp:docPr id="2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>
        <w:rPr>
          <w:rFonts w:eastAsia="Calibri"/>
          <w:sz w:val="28"/>
          <w:szCs w:val="22"/>
          <w:lang w:eastAsia="en-US"/>
        </w:rPr>
      </w:r>
    </w:p>
    <w:p>
      <w:pPr>
        <w:contextualSpacing/>
        <w:ind w:firstLine="709"/>
        <w:jc w:val="both"/>
        <w:spacing w:line="360" w:lineRule="auto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Рисунок 2 – Динамика налоговых поступлений по видам 2015-2019 гг.</w:t>
      </w:r>
      <w:r>
        <w:rPr>
          <w:rStyle w:val="827"/>
          <w:rFonts w:eastAsia="Calibri"/>
          <w:sz w:val="28"/>
          <w:szCs w:val="22"/>
          <w:lang w:eastAsia="en-US"/>
        </w:rPr>
        <w:footnoteReference w:id="2"/>
      </w:r>
      <w:r>
        <w:rPr>
          <w:rFonts w:eastAsia="Calibri"/>
          <w:sz w:val="28"/>
          <w:szCs w:val="22"/>
          <w:lang w:eastAsia="en-US"/>
        </w:rPr>
      </w:r>
    </w:p>
    <w:p>
      <w:pPr>
        <w:ind w:left="709"/>
        <w:jc w:val="center"/>
        <w:widowControl w:val="off"/>
        <w:tabs>
          <w:tab w:val="left" w:pos="1134" w:leader="none"/>
        </w:tabs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b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</w:r>
      <w:r>
        <w:rPr>
          <w:rFonts w:eastAsia="TimesNewRoman"/>
          <w:b/>
          <w:color w:val="000000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eastAsia="TimesNewRoman"/>
          <w:b/>
          <w:color w:val="000000"/>
          <w:sz w:val="28"/>
          <w:szCs w:val="28"/>
        </w:rPr>
      </w:pPr>
      <w:r>
        <w:rPr>
          <w:rFonts w:eastAsia="TimesNewRoman"/>
          <w:b/>
          <w:color w:val="000000"/>
          <w:sz w:val="28"/>
          <w:szCs w:val="28"/>
        </w:rPr>
        <w:t xml:space="preserve">Все таблицы, рисунки, схемы, иллюстрации, формулы и т.п. выполняются обучающимся лично с использованием соответствующих редакторов и инструментов </w:t>
      </w:r>
      <w:r>
        <w:rPr>
          <w:rFonts w:eastAsia="TimesNewRoman"/>
          <w:b/>
          <w:color w:val="000000"/>
          <w:sz w:val="28"/>
          <w:szCs w:val="28"/>
          <w:lang w:val="en-US"/>
        </w:rPr>
        <w:t xml:space="preserve">MS</w:t>
      </w:r>
      <w:r>
        <w:rPr>
          <w:rFonts w:eastAsia="TimesNewRoman"/>
          <w:b/>
          <w:color w:val="000000"/>
          <w:sz w:val="28"/>
          <w:szCs w:val="28"/>
        </w:rPr>
        <w:t xml:space="preserve"> </w:t>
      </w:r>
      <w:r>
        <w:rPr>
          <w:rFonts w:eastAsia="TimesNewRoman"/>
          <w:b/>
          <w:color w:val="000000"/>
          <w:sz w:val="28"/>
          <w:szCs w:val="28"/>
          <w:lang w:val="en-US"/>
        </w:rPr>
        <w:t xml:space="preserve">Word</w:t>
      </w:r>
      <w:r>
        <w:rPr>
          <w:rFonts w:eastAsia="TimesNewRoman"/>
          <w:b/>
          <w:color w:val="000000"/>
          <w:sz w:val="28"/>
          <w:szCs w:val="28"/>
        </w:rPr>
        <w:t xml:space="preserve">.</w:t>
      </w:r>
      <w:r>
        <w:rPr>
          <w:rFonts w:eastAsia="TimesNewRoman"/>
          <w:b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b/>
          <w:bCs/>
          <w:i/>
          <w:iCs/>
          <w:color w:val="000000"/>
          <w:sz w:val="28"/>
          <w:szCs w:val="28"/>
        </w:rPr>
      </w:pPr>
      <w:r>
        <w:rPr>
          <w:rFonts w:eastAsia="TimesNewRoman"/>
          <w:b/>
          <w:bCs/>
          <w:i/>
          <w:iCs/>
          <w:color w:val="000000"/>
          <w:sz w:val="28"/>
          <w:szCs w:val="28"/>
        </w:rPr>
      </w:r>
      <w:r>
        <w:rPr>
          <w:rFonts w:eastAsia="TimesNewRoman"/>
          <w:b/>
          <w:bCs/>
          <w:i/>
          <w:iCs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b/>
          <w:bCs/>
          <w:i/>
          <w:iCs/>
          <w:color w:val="000000"/>
          <w:sz w:val="28"/>
          <w:szCs w:val="28"/>
        </w:rPr>
      </w:pPr>
      <w:r>
        <w:rPr>
          <w:rFonts w:eastAsia="TimesNewRoman"/>
          <w:b/>
          <w:bCs/>
          <w:i/>
          <w:iCs/>
          <w:color w:val="000000"/>
          <w:sz w:val="28"/>
          <w:szCs w:val="28"/>
        </w:rPr>
        <w:t xml:space="preserve">Требования к оформлению приложений</w:t>
      </w:r>
      <w:r>
        <w:rPr>
          <w:rFonts w:eastAsia="TimesNewRoman"/>
          <w:b/>
          <w:bCs/>
          <w:i/>
          <w:iCs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Приложение оформляют как продолжение данного документа на последующих его листах.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Каждое приложение следует размещать с новой страницы с указанием </w:t>
      </w:r>
      <w:r>
        <w:rPr>
          <w:rFonts w:eastAsia="TimesNewRoman"/>
          <w:color w:val="000000"/>
          <w:sz w:val="28"/>
          <w:szCs w:val="28"/>
        </w:rPr>
        <w:t xml:space="preserve">вверху</w:t>
      </w:r>
      <w:r>
        <w:rPr>
          <w:rFonts w:eastAsia="TimesNewRoman"/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по правому краю </w:t>
      </w:r>
      <w:r>
        <w:rPr>
          <w:rFonts w:eastAsia="TimesNewRoman"/>
          <w:color w:val="000000"/>
          <w:sz w:val="28"/>
          <w:szCs w:val="28"/>
        </w:rPr>
        <w:t xml:space="preserve">страницы слова «Приложение», его обозначения.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Приложение должно иметь заголовок, которы</w:t>
      </w:r>
      <w:r>
        <w:rPr>
          <w:rFonts w:eastAsia="TimesNewRoman"/>
          <w:color w:val="000000"/>
          <w:sz w:val="28"/>
          <w:szCs w:val="28"/>
        </w:rPr>
        <w:t xml:space="preserve">й записывают с прописной буквы </w:t>
      </w:r>
      <w:r>
        <w:rPr>
          <w:rFonts w:eastAsia="TimesNewRoman"/>
          <w:color w:val="000000"/>
          <w:sz w:val="28"/>
          <w:szCs w:val="28"/>
        </w:rPr>
        <w:t xml:space="preserve">отдельной строкой по центру без точки в конце.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Приложения обозначают заглавными буквами русского алфавита, начиная с А, за исключением букв Ё, З, Й, О, Ч, Ъ, Ы, Ь. После слова «Приложение» следует буква, обозначающая его последовательность.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В случае полного использования букв кириллического или латинского </w:t>
      </w:r>
      <w:r>
        <w:rPr>
          <w:rFonts w:eastAsia="TimesNewRoman"/>
          <w:color w:val="000000"/>
          <w:sz w:val="28"/>
          <w:szCs w:val="28"/>
        </w:rPr>
        <w:t xml:space="preserve">алфавита допускается обозначать </w:t>
      </w:r>
      <w:r>
        <w:rPr>
          <w:rFonts w:eastAsia="TimesNewRoman"/>
          <w:color w:val="000000"/>
          <w:sz w:val="28"/>
          <w:szCs w:val="28"/>
        </w:rPr>
        <w:t xml:space="preserve">приложения арабскими цифрами.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Н</w:t>
      </w:r>
      <w:r>
        <w:rPr>
          <w:rFonts w:eastAsia="TimesNewRoman"/>
          <w:color w:val="000000"/>
          <w:sz w:val="28"/>
          <w:szCs w:val="28"/>
        </w:rPr>
        <w:t xml:space="preserve">а приложения и их пояснения</w:t>
      </w:r>
      <w:r>
        <w:rPr>
          <w:rFonts w:eastAsia="TimesNewRoman"/>
          <w:color w:val="000000"/>
          <w:sz w:val="28"/>
          <w:szCs w:val="28"/>
        </w:rPr>
        <w:t xml:space="preserve"> в основном тексте курсовой работы должны быть оформлены ссылки</w:t>
      </w:r>
      <w:r>
        <w:rPr>
          <w:rFonts w:eastAsia="TimesNewRoman"/>
          <w:color w:val="000000"/>
          <w:sz w:val="28"/>
          <w:szCs w:val="28"/>
        </w:rPr>
        <w:t xml:space="preserve">. Например, (см. Приложения А и Б) или «Как представлено в Приложении А …». Приложения располагаются в порядке ссылок на них в тексте работы.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Если приложение располагается на нескольких листах, то на каждом последу</w:t>
      </w:r>
      <w:r>
        <w:rPr>
          <w:rFonts w:eastAsia="TimesNewRoman"/>
          <w:color w:val="000000"/>
          <w:sz w:val="28"/>
          <w:szCs w:val="28"/>
        </w:rPr>
        <w:t xml:space="preserve">ющем листе пишется «Продолжение приложения …», а на последнем листе пишется «Окончание приложения …». В случаях, когда приложение представляет один документ с общим заголовком, то «Продолжение приложения …» не пишется, просто нумеруются страницы документа.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spacing w:line="360" w:lineRule="auto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</w:r>
      <w:r>
        <w:rPr>
          <w:rFonts w:eastAsia="TimesNewRoman"/>
          <w:color w:val="000000"/>
          <w:sz w:val="28"/>
          <w:szCs w:val="28"/>
        </w:rPr>
      </w:r>
    </w:p>
    <w:p>
      <w:pPr>
        <w:pStyle w:val="801"/>
        <w:ind w:firstLine="709"/>
        <w:jc w:val="center"/>
        <w:spacing w:before="0" w:after="0"/>
        <w:rPr>
          <w:rFonts w:ascii="Times New Roman" w:hAnsi="Times New Roman" w:eastAsia="FranklinGothicMedium,Bold"/>
          <w:bCs w:val="0"/>
          <w:color w:val="000000"/>
          <w:sz w:val="28"/>
          <w:szCs w:val="28"/>
        </w:rPr>
      </w:pPr>
      <w:r/>
      <w:bookmarkStart w:id="5" w:name="_Toc1405687"/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r>
        <w:rPr>
          <w:rFonts w:ascii="Times New Roman" w:hAnsi="Times New Roman" w:eastAsia="FranklinGothicMedium,Bold"/>
          <w:bCs w:val="0"/>
          <w:color w:val="000000"/>
          <w:sz w:val="28"/>
          <w:szCs w:val="28"/>
        </w:rPr>
        <w:t xml:space="preserve">ПОРЯДОК АТТЕСТАЦИИ И ЗАЩИТ</w:t>
      </w:r>
      <w:r>
        <w:rPr>
          <w:rFonts w:ascii="Times New Roman" w:hAnsi="Times New Roman" w:eastAsia="FranklinGothicMedium,Bold"/>
          <w:bCs w:val="0"/>
          <w:color w:val="000000"/>
          <w:sz w:val="28"/>
          <w:szCs w:val="28"/>
        </w:rPr>
        <w:t xml:space="preserve">Ы</w:t>
      </w:r>
      <w:r>
        <w:rPr>
          <w:rFonts w:ascii="Times New Roman" w:hAnsi="Times New Roman" w:eastAsia="FranklinGothicMedium,Bold"/>
          <w:bCs w:val="0"/>
          <w:color w:val="000000"/>
          <w:sz w:val="28"/>
          <w:szCs w:val="28"/>
        </w:rPr>
        <w:t xml:space="preserve"> КУРСОВОЙ РАБОТЫ</w:t>
      </w:r>
      <w:bookmarkEnd w:id="5"/>
      <w:r/>
      <w:r>
        <w:rPr>
          <w:rFonts w:ascii="Times New Roman" w:hAnsi="Times New Roman" w:eastAsia="FranklinGothicMedium,Bold"/>
          <w:bCs w:val="0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</w:r>
      <w:r>
        <w:rPr>
          <w:rFonts w:eastAsia="TimesNewRoman"/>
          <w:sz w:val="28"/>
          <w:szCs w:val="28"/>
        </w:rPr>
      </w:r>
    </w:p>
    <w:p>
      <w:pPr>
        <w:ind w:firstLine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Законченная и полностью оформленная </w:t>
      </w:r>
      <w:r>
        <w:rPr>
          <w:rFonts w:eastAsia="TimesNewRoman"/>
          <w:sz w:val="28"/>
          <w:szCs w:val="28"/>
        </w:rPr>
        <w:t xml:space="preserve">курсовая </w:t>
      </w:r>
      <w:r>
        <w:rPr>
          <w:rFonts w:eastAsia="TimesNewRoman"/>
          <w:sz w:val="28"/>
          <w:szCs w:val="28"/>
        </w:rPr>
        <w:t xml:space="preserve">работа не позднее</w:t>
      </w:r>
      <w:r>
        <w:rPr>
          <w:sz w:val="28"/>
          <w:szCs w:val="28"/>
        </w:rPr>
        <w:t xml:space="preserve">, </w:t>
      </w:r>
      <w:r>
        <w:rPr>
          <w:rFonts w:eastAsia="TimesNewRoman"/>
          <w:sz w:val="28"/>
          <w:szCs w:val="28"/>
        </w:rPr>
        <w:t xml:space="preserve">чем за две недели до </w:t>
      </w:r>
      <w:r>
        <w:rPr>
          <w:rFonts w:eastAsia="TimesNewRoman"/>
          <w:sz w:val="28"/>
          <w:szCs w:val="28"/>
        </w:rPr>
        <w:t xml:space="preserve">начала экзаменационной сессии</w:t>
      </w:r>
      <w:r>
        <w:rPr>
          <w:rFonts w:eastAsia="TimesNewRoman"/>
          <w:sz w:val="28"/>
          <w:szCs w:val="28"/>
        </w:rPr>
        <w:t xml:space="preserve"> </w:t>
      </w:r>
      <w:r>
        <w:rPr>
          <w:rFonts w:eastAsia="TimesNewRoman"/>
          <w:sz w:val="28"/>
          <w:szCs w:val="28"/>
        </w:rPr>
        <w:t xml:space="preserve">загружается студентом в Личный кабинет </w:t>
      </w:r>
      <w:r>
        <w:rPr>
          <w:rFonts w:eastAsia="TimesNewRoman"/>
          <w:sz w:val="28"/>
          <w:szCs w:val="28"/>
        </w:rPr>
        <w:t xml:space="preserve">для </w:t>
      </w:r>
      <w:r>
        <w:rPr>
          <w:rFonts w:eastAsia="TimesNewRoman"/>
          <w:sz w:val="28"/>
          <w:szCs w:val="28"/>
        </w:rPr>
        <w:t xml:space="preserve">проверки </w:t>
      </w:r>
      <w:r>
        <w:rPr>
          <w:rFonts w:eastAsia="TimesNewRoman"/>
          <w:sz w:val="28"/>
          <w:szCs w:val="28"/>
        </w:rPr>
        <w:t xml:space="preserve">руководителем и предварительной</w:t>
      </w:r>
      <w:r>
        <w:rPr>
          <w:rFonts w:eastAsia="TimesNewRoman"/>
          <w:sz w:val="28"/>
          <w:szCs w:val="28"/>
        </w:rPr>
        <w:t xml:space="preserve"> оценки</w:t>
      </w:r>
      <w:r>
        <w:rPr>
          <w:rFonts w:eastAsia="TimesNewRoman"/>
          <w:sz w:val="28"/>
          <w:szCs w:val="28"/>
        </w:rPr>
        <w:t xml:space="preserve">.</w:t>
      </w:r>
      <w:r>
        <w:rPr>
          <w:rFonts w:eastAsia="TimesNewRoman"/>
          <w:sz w:val="28"/>
          <w:szCs w:val="28"/>
        </w:rPr>
        <w:t xml:space="preserve"> </w:t>
      </w:r>
      <w:r>
        <w:rPr>
          <w:rFonts w:eastAsia="TimesNewRoman"/>
          <w:sz w:val="28"/>
          <w:szCs w:val="28"/>
        </w:rPr>
      </w:r>
    </w:p>
    <w:p>
      <w:pPr>
        <w:ind w:firstLine="709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Курсовая работа должна иметь титульный лист, </w:t>
      </w:r>
      <w:r>
        <w:rPr>
          <w:color w:val="000000"/>
          <w:sz w:val="28"/>
          <w:szCs w:val="28"/>
        </w:rPr>
        <w:t xml:space="preserve">сформированный в Личном кабинете студента и имеющий штрих-код</w:t>
      </w:r>
      <w:r>
        <w:rPr>
          <w:color w:val="000000"/>
          <w:sz w:val="28"/>
          <w:szCs w:val="28"/>
        </w:rPr>
        <w:t xml:space="preserve"> (Приложение </w:t>
      </w:r>
      <w:r>
        <w:rPr>
          <w:color w:val="000000"/>
          <w:sz w:val="28"/>
          <w:szCs w:val="28"/>
        </w:rPr>
        <w:t xml:space="preserve">5</w:t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. Титульный лист размещается в работе картинкой.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Руководитель курсовой работы в обязательном порядке проверяет и оценивает степень самостоятельности выполнения студентом курсовой работы.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Самостоятельность выполнения работы оценивается по доле текста, </w:t>
      </w:r>
      <w:r>
        <w:rPr>
          <w:rFonts w:eastAsia="TimesNewRoman"/>
          <w:color w:val="000000"/>
          <w:sz w:val="28"/>
          <w:szCs w:val="28"/>
        </w:rPr>
        <w:t xml:space="preserve">расцениваемого как некорректное заимствование.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В представленных студентами текстах курсовых работ допускается наличие объема заимствования не более 40% всего текста работы (независимо от раздела). Оригинальность всей работы при этом не должна быть ниже 50%.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Допускаются незначительные отклонения от указанных требований в случае превышения (отсутствия) объема цитиро</w:t>
      </w:r>
      <w:r>
        <w:rPr>
          <w:rFonts w:eastAsia="TimesNewRoman"/>
          <w:color w:val="000000"/>
          <w:sz w:val="28"/>
          <w:szCs w:val="28"/>
        </w:rPr>
        <w:t xml:space="preserve">вания.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Руководитель проверяет работу и при условии </w:t>
      </w:r>
      <w:r>
        <w:rPr>
          <w:rFonts w:eastAsia="TimesNewRoman"/>
          <w:color w:val="000000"/>
          <w:sz w:val="28"/>
          <w:szCs w:val="28"/>
        </w:rPr>
        <w:t xml:space="preserve">соответствия установленным требованиям по структуре, содержанию, оформлению, объему заимствований</w:t>
      </w:r>
      <w:r>
        <w:rPr>
          <w:rFonts w:eastAsia="TimesNewRoman"/>
          <w:color w:val="000000"/>
          <w:sz w:val="28"/>
          <w:szCs w:val="28"/>
        </w:rPr>
        <w:t xml:space="preserve"> дает по ней письменное заключение, выставляет предварительную оценку и допускает работу к защите</w:t>
      </w:r>
      <w:r>
        <w:rPr>
          <w:rFonts w:eastAsia="TimesNewRoman"/>
          <w:color w:val="000000"/>
          <w:sz w:val="28"/>
          <w:szCs w:val="28"/>
        </w:rPr>
        <w:t xml:space="preserve"> (за исключением студентов форм обучения с применением дистанционных образовательных технологий)</w:t>
      </w:r>
      <w:r>
        <w:rPr>
          <w:rFonts w:eastAsia="TimesNewRoman"/>
          <w:color w:val="000000"/>
          <w:sz w:val="28"/>
          <w:szCs w:val="28"/>
        </w:rPr>
        <w:t xml:space="preserve">. </w:t>
      </w:r>
      <w:r>
        <w:rPr>
          <w:rFonts w:eastAsia="TimesNewRoman"/>
          <w:color w:val="000000"/>
          <w:sz w:val="28"/>
          <w:szCs w:val="28"/>
        </w:rPr>
        <w:t xml:space="preserve">Защита курсовых работ может проводиться как на учебных занятиях, так и в ходе консультаций или </w:t>
      </w:r>
      <w:r>
        <w:rPr>
          <w:rFonts w:eastAsia="TimesNewRoman"/>
          <w:color w:val="000000"/>
          <w:sz w:val="28"/>
          <w:szCs w:val="28"/>
        </w:rPr>
        <w:t xml:space="preserve">в </w:t>
      </w:r>
      <w:r>
        <w:rPr>
          <w:rFonts w:eastAsia="TimesNewRoman"/>
          <w:color w:val="000000"/>
          <w:sz w:val="28"/>
          <w:szCs w:val="28"/>
        </w:rPr>
        <w:t xml:space="preserve">специально отведенное в расписании время. 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На защите курсовой работы студ</w:t>
      </w:r>
      <w:r>
        <w:rPr>
          <w:rFonts w:eastAsia="TimesNewRoman"/>
          <w:color w:val="000000"/>
          <w:sz w:val="28"/>
          <w:szCs w:val="28"/>
        </w:rPr>
        <w:t xml:space="preserve">ент должен показать не только знание темы, но и степень овладения научным методом мышления, логическим и иным анализом исследуемых проблем, способность к самостоятельному научному труду, умение четко и ясно излагать свои мысли и делать обоснованные выводы.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По курсо</w:t>
      </w:r>
      <w:r>
        <w:rPr>
          <w:rFonts w:eastAsia="TimesNewRoman"/>
          <w:color w:val="000000"/>
          <w:sz w:val="28"/>
          <w:szCs w:val="28"/>
        </w:rPr>
        <w:t xml:space="preserve">вым работам студентов, обучающихся с применением дистанционных образовательных технологий, при условии соответствия установленным требованиям по структуре, содержанию, оформлению, объему заимствований руководителем дается письменное заключение и выставляет</w:t>
      </w:r>
      <w:r>
        <w:rPr>
          <w:rFonts w:eastAsia="TimesNewRoman"/>
          <w:color w:val="000000"/>
          <w:sz w:val="28"/>
          <w:szCs w:val="28"/>
        </w:rPr>
        <w:t xml:space="preserve">ся</w:t>
      </w:r>
      <w:r>
        <w:rPr>
          <w:rFonts w:eastAsia="TimesNewRoman"/>
          <w:color w:val="000000"/>
          <w:sz w:val="28"/>
          <w:szCs w:val="28"/>
        </w:rPr>
        <w:t xml:space="preserve"> итогов</w:t>
      </w:r>
      <w:r>
        <w:rPr>
          <w:rFonts w:eastAsia="TimesNewRoman"/>
          <w:color w:val="000000"/>
          <w:sz w:val="28"/>
          <w:szCs w:val="28"/>
        </w:rPr>
        <w:t xml:space="preserve">ая</w:t>
      </w:r>
      <w:r>
        <w:rPr>
          <w:rFonts w:eastAsia="TimesNewRoman"/>
          <w:color w:val="000000"/>
          <w:sz w:val="28"/>
          <w:szCs w:val="28"/>
        </w:rPr>
        <w:t xml:space="preserve"> оценк</w:t>
      </w:r>
      <w:r>
        <w:rPr>
          <w:rFonts w:eastAsia="TimesNewRoman"/>
          <w:color w:val="000000"/>
          <w:sz w:val="28"/>
          <w:szCs w:val="28"/>
        </w:rPr>
        <w:t xml:space="preserve">а</w:t>
      </w:r>
      <w:r>
        <w:rPr>
          <w:rFonts w:eastAsia="TimesNewRoman"/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Типовые критерии и индикаторы оценивания курсовой работы представлены в Приложении </w:t>
      </w:r>
      <w:r>
        <w:rPr>
          <w:rFonts w:eastAsia="TimesNewRoman"/>
          <w:color w:val="000000"/>
          <w:sz w:val="28"/>
          <w:szCs w:val="28"/>
        </w:rPr>
        <w:t xml:space="preserve">3</w:t>
      </w:r>
      <w:r>
        <w:rPr>
          <w:rFonts w:eastAsia="TimesNewRoman"/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Работа, не соответствующая установленным требованиям по структуре, содержанию, оформлению, объему заимствований возвращается для доработки с учетом сделанных замечаний и повторно загружается в личный кабинет в срок до начала экзаменационной сессии.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Студент, не представивший в установле</w:t>
      </w:r>
      <w:r>
        <w:rPr>
          <w:rFonts w:eastAsia="TimesNewRoman"/>
          <w:color w:val="000000"/>
          <w:sz w:val="28"/>
          <w:szCs w:val="28"/>
        </w:rPr>
        <w:t xml:space="preserve">нный срок курсовую работу или не защитивший ее по неуважительной причине, считается имеющим академическую задолженность. Академические задолженности ликвидируются в период дополнительных экзаменационных сессий в соответствии с календарным учебным графиком.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Курсовая работа оценивается по пятибалльной </w:t>
      </w:r>
      <w:r>
        <w:rPr>
          <w:rFonts w:eastAsia="TimesNewRoman"/>
          <w:color w:val="000000"/>
          <w:sz w:val="28"/>
          <w:szCs w:val="28"/>
        </w:rPr>
        <w:t xml:space="preserve">шкале</w:t>
      </w:r>
      <w:r>
        <w:rPr>
          <w:rFonts w:eastAsia="TimesNewRoman"/>
          <w:color w:val="000000"/>
          <w:sz w:val="28"/>
          <w:szCs w:val="28"/>
        </w:rPr>
        <w:t xml:space="preserve">: «отлично», «хорошо», «удовлетворительно», «неудовлетворительно».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 оценке курсовой работы учитываются: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обоснование актуальности темы;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теоретический уровень и самостоятельность в постановке вопросов;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связь вопросов теории с практикой;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использование в работе актуальной литературы, зарубежного опыта;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наличие цифрового материала, расчетов таблиц;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обоснование рекомендаций, предложений;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соблюдение требований к объему заимствования;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- качество оформления работы.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br w:type="page" w:clear="all"/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</w:r>
      <w:r>
        <w:rPr>
          <w:rFonts w:eastAsia="TimesNewRoman"/>
          <w:color w:val="000000"/>
          <w:sz w:val="28"/>
          <w:szCs w:val="28"/>
        </w:rPr>
      </w:r>
    </w:p>
    <w:p>
      <w:pPr>
        <w:pStyle w:val="801"/>
        <w:ind w:firstLine="709"/>
        <w:jc w:val="center"/>
        <w:spacing w:before="0" w:after="0"/>
        <w:rPr>
          <w:rFonts w:ascii="Times New Roman" w:hAnsi="Times New Roman"/>
          <w:color w:val="000000"/>
          <w:sz w:val="28"/>
          <w:szCs w:val="28"/>
        </w:rPr>
      </w:pPr>
      <w:r/>
      <w:bookmarkStart w:id="6" w:name="_Toc1405688"/>
      <w:r>
        <w:rPr>
          <w:rFonts w:ascii="Times New Roman" w:hAnsi="Times New Roman"/>
          <w:color w:val="000000"/>
          <w:sz w:val="28"/>
          <w:szCs w:val="28"/>
        </w:rPr>
        <w:t xml:space="preserve">ПРИЛОЖЕНИЯ</w:t>
      </w:r>
      <w:bookmarkEnd w:id="6"/>
      <w:r/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right"/>
        <w:spacing w:line="360" w:lineRule="auto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Приложение </w:t>
      </w:r>
      <w:r>
        <w:rPr>
          <w:rFonts w:eastAsia="TimesNewRoman"/>
          <w:color w:val="000000"/>
          <w:sz w:val="28"/>
          <w:szCs w:val="28"/>
        </w:rPr>
        <w:t xml:space="preserve">1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center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Тематика курсовых работ п</w:t>
      </w:r>
      <w:r>
        <w:rPr>
          <w:rFonts w:eastAsia="TimesNewRoman"/>
          <w:sz w:val="28"/>
          <w:szCs w:val="28"/>
        </w:rPr>
        <w:t xml:space="preserve">о дисциплине</w:t>
      </w:r>
      <w:r>
        <w:rPr>
          <w:rFonts w:eastAsia="TimesNewRoman"/>
          <w:sz w:val="28"/>
          <w:szCs w:val="28"/>
        </w:rPr>
      </w:r>
    </w:p>
    <w:p>
      <w:pPr>
        <w:ind w:firstLine="709"/>
        <w:jc w:val="center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«</w:t>
      </w:r>
      <w:r>
        <w:rPr>
          <w:rFonts w:eastAsia="TimesNewRoman"/>
          <w:sz w:val="28"/>
          <w:szCs w:val="28"/>
        </w:rPr>
        <w:t xml:space="preserve">Оценка эффективности государственного и муниципального управления</w:t>
      </w:r>
      <w:r>
        <w:rPr>
          <w:rFonts w:eastAsia="TimesNewRoman"/>
          <w:sz w:val="28"/>
          <w:szCs w:val="28"/>
        </w:rPr>
        <w:t xml:space="preserve">»</w:t>
      </w:r>
      <w:r>
        <w:rPr>
          <w:rFonts w:eastAsia="TimesNewRoman"/>
          <w:sz w:val="28"/>
          <w:szCs w:val="28"/>
        </w:rPr>
      </w:r>
    </w:p>
    <w:p>
      <w:pPr>
        <w:ind w:firstLine="709"/>
        <w:jc w:val="center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</w:r>
      <w:r>
        <w:rPr>
          <w:rFonts w:eastAsia="TimesNewRoman"/>
          <w:sz w:val="28"/>
          <w:szCs w:val="28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 Административная реформа в РФ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Анализ законодательной базы, регулирующей оценку эффективности деятельности органов исполнительной власти субъектов РФ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 Анализ российских практик оценки эффективности государственного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 Анализ российских практик оценки эффективности муниципального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 Влияние вертикали власти на политическую эффективность государственного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6. Внедрение и оценка стратегии управления по результатам, предусматривающая их оценку на основе показателей эффективности, нормативно определенных в Указах Президента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7. Внедрение системы оценки результативности и эффективности контрольно-надзорной деятельности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8. Информатизация МФЦ и электронное взаимодействие с органами власти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9. Информационное обеспечение оценки эффективности государственного и муниципального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10. Критерии эффективности государственного и муниципального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11. Критерии эффективности деятельности исполнительных органов власти субъектов Российской Федерации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12. Критерии эффективности деятельности исполнительных органов власти субъектов Российской Федерации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13. Метод сбалансированной системы показателей в оценке эффективности государственного и муниципального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14. Методика мониторинга эффективности деятельности органов местного самоуправления в РФ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15. Методы оценки эффективности государственного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16. Методы оценки эффективности муниципального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17. Механизмы повышения эффективности государственного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18. Мониторинг деятельности субъектов естественных монополий на территории субъекта Российской Федерации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19. Мониторинг качества и доступности государственных и муниципальных услуг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20. Мониторинг наличия административных барьеров и оценки состояния конкуренции между субъектами предпринимательской деятельности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21. Мониторинг удовлетворенности субъектов предпринимательской деятельности и потребителей товаров, работ, услуг качеством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22. Мониторинг удовлетворенности субъектов предпринимательской деятельности и потребителей товаров, работ, услуг качеством официальной </w:t>
      </w:r>
      <w:r>
        <w:rPr>
          <w:color w:val="000000"/>
          <w:sz w:val="26"/>
          <w:szCs w:val="26"/>
        </w:rPr>
        <w:t xml:space="preserve">информации о состоянии конкуренции на товарных рынках субъекта Российской Федерации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23. Независимая оценка качества условий оказания услуг муниципальными организациями в сфере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24. Независимая экспертная оценка деятельности бюджетных учреждений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25. Общественные организации и их роль в повышении эффективности государственного и муниципального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26. Оптимизация и обеспечение эффективности государственного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27. Основные направления повышения эффективности государственного и муниципального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28. Основные характеристики и критерии эффективности кадровой политики в сфере государственного и муниципального управления в РФ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29. Оценка качества предоставления электронных государственных услуг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30. Оценка регулирующего воздействия на примере субъекта РФ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31. Оценка социальной эффективности в муниципальном управлении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32. Оценка эффективности ГМУ на основе опросов с использованием IT-технологий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33. Оценка эффективности деятельности высших должностных лиц и органов исполнительной власти субъектов Федерации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34. Оценка эффективности деятельности органов исполнительной власти в сфере обеспечения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35. Оценка эффективности деятельности органов исполнительной власти субъектов Российской Федерации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36. Оценка эффективности мероприятий по содействию развития конкуренции в субъектах РФ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37. Оценка эффективности на основе методики расчета барометра мировой коррупции организации «Transparency International»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38. Оценка эффективности на основе расчета индекс восприятия коррупции организации «Transparency International»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39. Оценка эффективности на основе расчета индекса экономической свободы организации «Heritage Foundation»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40. Оценка эффективности на основе расчета показателя эффективности государственного управления, измеряемые на основе обследований государственных служащих и населения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41. Оценка эффективности работы административной комиссии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42. Оценка эффективности работы органов исполнительной власти субъектов Федерации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43. Оценка эффективности реализации направления «Кадры и образование» программы «Цифровая экономика Российской Федерации»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44. Оценка эффективности реализации проекта "Внедрение риск-ориентированного подхода при осуществлении контрольно-надзорной деятельности"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45. Оценка эффективности реализации проекта "Внедрение системы комплексной профилактики нарушений обязательных требований"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46. Оценка эффективности совместной работы Государственных органов власти и местного самоуправления по благоустройству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47. Оценка эффективности управления в муниципальном образовании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48. Понятие и критерии оценки эффективности государственного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49. Понятие эффективности государственного управления, его виды, факторы и характеристики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50. Практика реализации целевой модели «Осуществление контрольно-надзорной деятельности в субъектах Российской Федерации»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51. Проблемы, возникающие в процессе оценки производительности и эффективности государственного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52. Процессы совершенствования государственного и муниципального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53. Развитие института оценки регулирующего воздействия в субъектах Российской Федерации и органах местного самоуправления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54. Развитие саморегулирования предпринимательской и профессиональной деятельности в Российской Федерации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55. Развитие системы функций государственного управления в современных условиях и оценка их эффективности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56. Расчет интегрального показателя государственного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57. Реализация принципа «одного окна» как инструмент повышения качества и доступности государственных и муниципальных услуг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58. Система показателей уровня социально-экономического развития территории и результативности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59. Снижение административных барьеров при лицензировании отдельных видов деятельности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60. Совершенствование системы государственного контроля и сокращение избыточного давления на бизнес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61. Совершенствование системы оценки эффективности работы органов исполнительной власти субъектов Федерации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62. Современные подходы к оценке эффективности государственного управления государственных служащих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63. Современные подходы к оценке эффективности муниципального управления муниципальных служащих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64. Создание эффективного механизма управления развитием и кадровым обеспечением территориальных и муниципальных структур России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65. Социальная эффективность государственного и муниципального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66. Социологические исследования в системе оценки эффективности государственного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67. Социологические исследования в системе оценки эффективности муниципального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68. Сравнительная характеристика различных форм предоставления государственных услуг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69. Сравнительный анализ оценки деятельности глав субъектов РФ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70. Сущность понятия "эффективность управления", его критерии и этапы оценочной деятельности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71. Эффективность государственного и муниципального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72. Эффективность организации и функционирования субъектов государственного и муниципального управления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73. Эффективность реализации Национальной программы "Цифровая экономика Российской Федерации"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74. Эффективность реализации стандарта развития конкуренции в субъектах Российской Федерации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75. Эффективность системы городского управления и социальное партнерство с властью в России</w:t>
      </w:r>
      <w:r>
        <w:rPr>
          <w:color w:val="000000"/>
          <w:sz w:val="26"/>
          <w:szCs w:val="26"/>
        </w:rPr>
      </w:r>
    </w:p>
    <w:p>
      <w:pPr>
        <w:pStyle w:val="821"/>
        <w:ind w:firstLine="375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 w:type="page" w:clear="all"/>
      </w:r>
      <w:r>
        <w:rPr>
          <w:color w:val="000000"/>
          <w:sz w:val="26"/>
          <w:szCs w:val="26"/>
        </w:rPr>
      </w:r>
    </w:p>
    <w:p>
      <w:pPr>
        <w:ind w:firstLine="709"/>
        <w:jc w:val="right"/>
        <w:spacing w:line="360" w:lineRule="auto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Приложение 2</w:t>
      </w:r>
      <w:r>
        <w:rPr>
          <w:rFonts w:eastAsia="TimesNewRoman"/>
          <w:color w:val="000000"/>
          <w:sz w:val="28"/>
          <w:szCs w:val="28"/>
        </w:rPr>
      </w:r>
    </w:p>
    <w:p>
      <w:pPr>
        <w:jc w:val="center"/>
        <w:spacing w:line="360" w:lineRule="auto"/>
        <w:rPr>
          <w:rFonts w:eastAsia="TimesNewRoman"/>
          <w:b/>
          <w:bCs/>
          <w:color w:val="000000"/>
          <w:sz w:val="28"/>
          <w:szCs w:val="28"/>
        </w:rPr>
      </w:pPr>
      <w:r>
        <w:rPr>
          <w:rFonts w:eastAsia="TimesNewRoman"/>
          <w:b/>
          <w:bCs/>
          <w:color w:val="000000"/>
          <w:sz w:val="28"/>
          <w:szCs w:val="28"/>
        </w:rPr>
        <w:t xml:space="preserve">Образец заявления на выбор темы курсовой работы</w:t>
      </w:r>
      <w:r>
        <w:rPr>
          <w:rFonts w:eastAsia="TimesNewRoman"/>
          <w:b/>
          <w:bCs/>
          <w:color w:val="000000"/>
          <w:sz w:val="28"/>
          <w:szCs w:val="28"/>
        </w:rPr>
      </w:r>
    </w:p>
    <w:p>
      <w:pPr>
        <w:jc w:val="righ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Заведующему кафедрой </w:t>
      </w:r>
      <w:r>
        <w:rPr>
          <w:sz w:val="28"/>
          <w:szCs w:val="28"/>
        </w:rPr>
      </w:r>
    </w:p>
    <w:p>
      <w:pPr>
        <w:jc w:val="righ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Экономики городского хозяйства и </w:t>
      </w:r>
      <w:r>
        <w:rPr>
          <w:sz w:val="28"/>
          <w:szCs w:val="28"/>
        </w:rPr>
      </w:r>
    </w:p>
    <w:p>
      <w:pPr>
        <w:jc w:val="righ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сферы обслуживания</w:t>
      </w:r>
      <w:r>
        <w:rPr>
          <w:sz w:val="28"/>
          <w:szCs w:val="28"/>
        </w:rPr>
      </w:r>
    </w:p>
    <w:p>
      <w:pPr>
        <w:jc w:val="righ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____________________________</w:t>
      </w:r>
      <w:r>
        <w:rPr>
          <w:sz w:val="28"/>
          <w:szCs w:val="28"/>
        </w:rPr>
      </w:r>
    </w:p>
    <w:p>
      <w:pPr>
        <w:jc w:val="righ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от студента (ки)__ курса</w:t>
      </w:r>
      <w:r>
        <w:rPr>
          <w:sz w:val="28"/>
          <w:szCs w:val="28"/>
        </w:rPr>
      </w:r>
    </w:p>
    <w:p>
      <w:pPr>
        <w:jc w:val="righ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____________формы обучения</w:t>
      </w:r>
      <w:r>
        <w:rPr>
          <w:sz w:val="28"/>
          <w:szCs w:val="28"/>
        </w:rPr>
      </w:r>
    </w:p>
    <w:p>
      <w:pPr>
        <w:jc w:val="righ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факультета_________________</w:t>
      </w:r>
      <w:r>
        <w:rPr>
          <w:sz w:val="28"/>
          <w:szCs w:val="28"/>
        </w:rPr>
      </w:r>
    </w:p>
    <w:p>
      <w:pPr>
        <w:jc w:val="righ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профиль программы______________</w:t>
      </w:r>
      <w:r>
        <w:rPr>
          <w:sz w:val="28"/>
          <w:szCs w:val="28"/>
        </w:rPr>
      </w:r>
    </w:p>
    <w:p>
      <w:pPr>
        <w:jc w:val="righ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(ФИО)_______</w:t>
      </w:r>
      <w:r>
        <w:rPr>
          <w:sz w:val="28"/>
          <w:szCs w:val="28"/>
        </w:rPr>
        <w:t xml:space="preserve">______________</w:t>
      </w:r>
      <w:r>
        <w:rPr>
          <w:sz w:val="28"/>
          <w:szCs w:val="28"/>
        </w:rPr>
      </w:r>
    </w:p>
    <w:p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line="360" w:lineRule="auto"/>
      </w:pPr>
      <w:r/>
      <w:r/>
    </w:p>
    <w:p>
      <w:pPr>
        <w:jc w:val="center"/>
        <w:spacing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ЗАЯВЛЕНИЕ</w:t>
      </w:r>
      <w:r>
        <w:rPr>
          <w:sz w:val="28"/>
          <w:szCs w:val="28"/>
        </w:rPr>
      </w:r>
    </w:p>
    <w:p>
      <w:pPr>
        <w:jc w:val="both"/>
        <w:spacing w:line="360" w:lineRule="auto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Прошу Вас утвердить мне тему курсовой работы ___________________________</w:t>
      </w:r>
      <w:r>
        <w:rPr>
          <w:sz w:val="26"/>
          <w:szCs w:val="26"/>
        </w:rPr>
        <w:t xml:space="preserve">__________________________________________________________________________</w:t>
      </w:r>
      <w:r>
        <w:rPr>
          <w:sz w:val="26"/>
          <w:szCs w:val="26"/>
        </w:rPr>
        <w:t xml:space="preserve">_________________________________________</w:t>
      </w:r>
      <w:r>
        <w:rPr>
          <w:sz w:val="26"/>
          <w:szCs w:val="26"/>
        </w:rPr>
      </w:r>
    </w:p>
    <w:p>
      <w:pPr>
        <w:jc w:val="center"/>
        <w:spacing w:line="360" w:lineRule="auto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по дисциплине___________________________________________________________</w:t>
      </w:r>
      <w:r>
        <w:rPr>
          <w:sz w:val="26"/>
          <w:szCs w:val="26"/>
        </w:rPr>
      </w:r>
    </w:p>
    <w:p>
      <w:pPr>
        <w:jc w:val="both"/>
        <w:spacing w:line="360" w:lineRule="auto"/>
        <w:widowControl w:val="o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360" w:lineRule="auto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Контактный телефон: ____________________________________________________</w:t>
      </w:r>
      <w:r>
        <w:rPr>
          <w:sz w:val="26"/>
          <w:szCs w:val="26"/>
        </w:rPr>
      </w:r>
    </w:p>
    <w:p>
      <w:pPr>
        <w:jc w:val="both"/>
        <w:spacing w:line="360" w:lineRule="auto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Электронная почта: ______________________________________________________</w:t>
      </w:r>
      <w:r>
        <w:rPr>
          <w:sz w:val="26"/>
          <w:szCs w:val="26"/>
        </w:rPr>
      </w:r>
    </w:p>
    <w:p>
      <w:pPr>
        <w:jc w:val="both"/>
        <w:spacing w:line="360" w:lineRule="auto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Дата </w:t>
      </w:r>
      <w:r>
        <w:rPr>
          <w:sz w:val="26"/>
          <w:szCs w:val="26"/>
        </w:rPr>
        <w:t xml:space="preserve">_____________________                                   Подпись _____________________</w:t>
      </w:r>
      <w:r>
        <w:rPr>
          <w:sz w:val="26"/>
          <w:szCs w:val="26"/>
        </w:rPr>
      </w:r>
    </w:p>
    <w:p>
      <w:pPr>
        <w:spacing w:line="360" w:lineRule="auto"/>
        <w:widowControl w:val="off"/>
      </w:pPr>
      <w:r>
        <w:rPr>
          <w:sz w:val="26"/>
          <w:szCs w:val="26"/>
          <w:u w:val="single"/>
        </w:rPr>
        <w:t xml:space="preserve">_______________________________________________________________________</w:t>
      </w:r>
      <w:r/>
    </w:p>
    <w:p>
      <w:pPr>
        <w:jc w:val="both"/>
        <w:spacing w:line="360" w:lineRule="auto"/>
        <w:widowControl w:val="off"/>
        <w:rPr>
          <w:i/>
          <w:sz w:val="26"/>
          <w:szCs w:val="26"/>
        </w:rPr>
      </w:pPr>
      <w:r>
        <w:rPr>
          <w:sz w:val="26"/>
          <w:szCs w:val="26"/>
        </w:rPr>
        <w:t xml:space="preserve">«СОГЛАСОВАНО»__________________ </w:t>
      </w:r>
      <w:r>
        <w:rPr>
          <w:i/>
          <w:sz w:val="26"/>
          <w:szCs w:val="26"/>
        </w:rPr>
        <w:t xml:space="preserve">Заведующий кафедрой</w:t>
      </w:r>
      <w:r>
        <w:rPr>
          <w:i/>
          <w:sz w:val="26"/>
          <w:szCs w:val="26"/>
        </w:rPr>
      </w:r>
    </w:p>
    <w:p>
      <w:pPr>
        <w:jc w:val="right"/>
        <w:spacing w:line="360" w:lineRule="auto"/>
        <w:widowControl w:val="off"/>
        <w:rPr>
          <w:i/>
          <w:sz w:val="26"/>
          <w:szCs w:val="26"/>
        </w:rPr>
      </w:pPr>
      <w:r>
        <w:rPr>
          <w:i/>
          <w:sz w:val="26"/>
          <w:szCs w:val="26"/>
        </w:rPr>
      </w:r>
      <w:r>
        <w:rPr>
          <w:i/>
          <w:sz w:val="26"/>
          <w:szCs w:val="26"/>
        </w:rPr>
      </w:r>
    </w:p>
    <w:p>
      <w:pPr>
        <w:jc w:val="both"/>
        <w:spacing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«____»___________202__г.</w:t>
      </w:r>
      <w:r>
        <w:rPr>
          <w:sz w:val="28"/>
          <w:szCs w:val="28"/>
        </w:rPr>
      </w:r>
    </w:p>
    <w:p>
      <w:pPr>
        <w:jc w:val="both"/>
        <w:spacing w:line="360" w:lineRule="auto"/>
        <w:widowControl w:val="off"/>
        <w:rPr>
          <w:sz w:val="26"/>
          <w:szCs w:val="26"/>
        </w:rPr>
      </w:pPr>
      <w:r>
        <w:rPr>
          <w:sz w:val="26"/>
          <w:szCs w:val="26"/>
        </w:rPr>
        <w:br w:type="page" w:clear="all"/>
      </w:r>
      <w:r>
        <w:rPr>
          <w:sz w:val="26"/>
          <w:szCs w:val="26"/>
        </w:rPr>
      </w:r>
    </w:p>
    <w:p>
      <w:pPr>
        <w:ind w:firstLine="709"/>
        <w:jc w:val="right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Приложение 3</w:t>
      </w:r>
      <w:r>
        <w:rPr>
          <w:rFonts w:eastAsia="TimesNewRoman"/>
          <w:sz w:val="28"/>
          <w:szCs w:val="28"/>
        </w:rPr>
      </w:r>
    </w:p>
    <w:p>
      <w:pPr>
        <w:ind w:firstLine="680"/>
        <w:jc w:val="center"/>
        <w:widowControl w:val="off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</w:r>
      <w:r>
        <w:rPr>
          <w:rFonts w:eastAsia="Calibri"/>
          <w:b/>
          <w:color w:val="000000"/>
          <w:sz w:val="28"/>
          <w:szCs w:val="28"/>
          <w:lang w:eastAsia="en-US"/>
        </w:rPr>
      </w:r>
    </w:p>
    <w:p>
      <w:pPr>
        <w:ind w:firstLine="680"/>
        <w:jc w:val="center"/>
        <w:widowControl w:val="off"/>
        <w:rPr>
          <w:rFonts w:eastAsia="Calibri"/>
          <w:b/>
          <w:color w:val="000000"/>
          <w:lang w:eastAsia="en-US"/>
        </w:rPr>
      </w:pPr>
      <w:r>
        <w:rPr>
          <w:b/>
          <w:color w:val="000000"/>
        </w:rPr>
        <w:t xml:space="preserve">ТИПОВЫЕ  ИНДИКАТОРЫ КРИТЕРИЕВ ОЦЕНИВАНИЯ КУРСОВОЙ РАБОТЫ</w:t>
      </w:r>
      <w:r>
        <w:rPr>
          <w:rFonts w:eastAsia="Calibri"/>
          <w:b/>
          <w:color w:val="000000"/>
          <w:lang w:eastAsia="en-US"/>
        </w:rPr>
      </w:r>
    </w:p>
    <w:p>
      <w:pPr>
        <w:ind w:firstLine="680"/>
        <w:jc w:val="center"/>
        <w:widowControl w:val="off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</w:r>
      <w:r>
        <w:rPr>
          <w:rFonts w:eastAsia="Calibri"/>
          <w:b/>
          <w:color w:val="000000"/>
          <w:lang w:eastAsia="en-US"/>
        </w:rPr>
      </w:r>
    </w:p>
    <w:p>
      <w:pPr>
        <w:ind w:firstLine="680"/>
        <w:jc w:val="center"/>
        <w:widowControl w:val="off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 xml:space="preserve">по дисциплине «</w:t>
      </w:r>
      <w:r>
        <w:rPr>
          <w:rFonts w:eastAsia="Calibri"/>
          <w:b/>
          <w:color w:val="000000"/>
          <w:lang w:eastAsia="en-US"/>
        </w:rPr>
        <w:t xml:space="preserve">Оценка эффективности государственного и муниципального управления</w:t>
      </w:r>
      <w:r>
        <w:rPr>
          <w:rFonts w:eastAsia="Calibri"/>
          <w:b/>
          <w:color w:val="000000"/>
          <w:lang w:eastAsia="en-US"/>
        </w:rPr>
        <w:t xml:space="preserve">»</w:t>
      </w:r>
      <w:r>
        <w:rPr>
          <w:rFonts w:eastAsia="Calibri"/>
          <w:b/>
          <w:color w:val="000000"/>
          <w:lang w:eastAsia="en-US"/>
        </w:rPr>
      </w:r>
    </w:p>
    <w:p>
      <w:pPr>
        <w:ind w:firstLine="680"/>
        <w:jc w:val="center"/>
        <w:widowControl w:val="off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</w:r>
      <w:r>
        <w:rPr>
          <w:rFonts w:eastAsia="Calibri"/>
          <w:b/>
          <w:color w:val="000000"/>
          <w:lang w:eastAsia="en-US"/>
        </w:rPr>
      </w:r>
    </w:p>
    <w:p>
      <w:pPr>
        <w:ind w:firstLine="680"/>
        <w:widowControl w:val="off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 xml:space="preserve">Студента </w:t>
      </w:r>
      <w:r>
        <w:rPr>
          <w:rFonts w:eastAsia="Calibri"/>
          <w:b/>
          <w:color w:val="000000"/>
          <w:lang w:eastAsia="en-US"/>
        </w:rPr>
        <w:t xml:space="preserve">(ФИО)</w:t>
      </w:r>
      <w:r>
        <w:rPr>
          <w:rFonts w:eastAsia="Calibri"/>
          <w:b/>
          <w:color w:val="000000"/>
          <w:lang w:eastAsia="en-US"/>
        </w:rPr>
      </w:r>
    </w:p>
    <w:tbl>
      <w:tblPr>
        <w:tblW w:w="95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4111"/>
        <w:gridCol w:w="1134"/>
        <w:gridCol w:w="1099"/>
      </w:tblGrid>
      <w:tr>
        <w:trPr/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Критерий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Показатель соответствия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Нормативные значения (баллы)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Оценка руководителя (баллы)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2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Оформление курсовой работы по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ГОСТ 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полностью соответствует 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099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соответствует с незначительными отклонениями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15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>
          <w:trHeight w:val="41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соответствует с существенными отклонениями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>
          <w:trHeight w:val="182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не соответствует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Анализ источников информации и теоретического материала в соответствии с темой и целью КР 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полностью соответствует 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соответствует с незначительными отклонениями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15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соответствует с существенными отклонениями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не соответствует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Аргументация и обоснованность выводов по параграфам и главам в соответствии с предметом и задачами КР 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полностью соответствует 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соответствует с незначительными отклонениями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15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соответствует с существенными отклонениями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>
          <w:trHeight w:val="24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не соответствует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Цель работы в заключении КР достигнута и подтверждена 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полностью соответствует 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>
          <w:trHeight w:val="23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соответствует с незначительными отклонениями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15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соответствует с существенными отклонениями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не соответствует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Теоретический уровень и самостоятельность в постановке вопросов, наличие цифрового материала, расчетов, таблиц соответствуют требованиям 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полностью соответствует 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20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соответствует с незначительными отклонениями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15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соответствует с существенными отклонениями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не соответствует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0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Итого </w:t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9" w:type="dxa"/>
            <w:vAlign w:val="center"/>
            <w:textDirection w:val="lrTb"/>
            <w:noWrap w:val="false"/>
          </w:tcPr>
          <w:p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</w:tbl>
    <w:p>
      <w:pPr>
        <w:ind w:firstLine="680"/>
        <w:jc w:val="center"/>
        <w:widowControl w:val="off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</w:r>
      <w:r>
        <w:rPr>
          <w:rFonts w:eastAsia="Calibri"/>
          <w:b/>
          <w:color w:val="000000"/>
          <w:lang w:eastAsia="en-US"/>
        </w:rPr>
      </w:r>
    </w:p>
    <w:p>
      <w:pPr>
        <w:ind w:firstLine="680"/>
        <w:jc w:val="center"/>
        <w:widowControl w:val="off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 xml:space="preserve">Критерии оценивания</w:t>
      </w:r>
      <w:r>
        <w:rPr>
          <w:rFonts w:eastAsia="Calibri"/>
          <w:b/>
          <w:color w:val="000000"/>
          <w:lang w:eastAsia="en-US"/>
        </w:rPr>
      </w:r>
    </w:p>
    <w:tbl>
      <w:tblPr>
        <w:tblW w:w="5155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44"/>
        <w:gridCol w:w="5224"/>
      </w:tblGrid>
      <w:tr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3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eastAsia="Calibri"/>
                <w:b/>
                <w:color w:val="000000"/>
                <w:sz w:val="22"/>
                <w:szCs w:val="22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 w:bidi="en-US"/>
              </w:rPr>
              <w:t xml:space="preserve">Оценка</w:t>
            </w:r>
            <w:r>
              <w:rPr>
                <w:rFonts w:eastAsia="Calibri"/>
                <w:b/>
                <w:color w:val="000000"/>
                <w:sz w:val="22"/>
                <w:szCs w:val="22"/>
                <w:lang w:eastAsia="en-US" w:bidi="en-US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7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eastAsia="Calibri"/>
                <w:b/>
                <w:color w:val="000000"/>
                <w:sz w:val="22"/>
                <w:szCs w:val="22"/>
                <w:lang w:eastAsia="en-US" w:bidi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 w:bidi="en-US"/>
              </w:rPr>
              <w:t xml:space="preserve">Диапазон критерия оценивания</w:t>
            </w:r>
            <w:r>
              <w:rPr>
                <w:rFonts w:eastAsia="Calibri"/>
                <w:b/>
                <w:color w:val="000000"/>
                <w:sz w:val="22"/>
                <w:szCs w:val="22"/>
                <w:lang w:eastAsia="en-US" w:bidi="en-US"/>
              </w:rPr>
            </w:r>
          </w:p>
        </w:tc>
      </w:tr>
      <w:tr>
        <w:trPr>
          <w:trHeight w:val="3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3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  <w:t xml:space="preserve">Отлично</w:t>
            </w:r>
            <w:r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7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от 85 до 100 баллов.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3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  <w:t xml:space="preserve">Хорошо</w:t>
            </w:r>
            <w:r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7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от 66 до 84 баллов;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2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3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  <w:t xml:space="preserve">Удовлетворительно</w:t>
            </w:r>
            <w:r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7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от 50 до 65 баллов;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2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3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  <w:t xml:space="preserve">Неудовлетворительно</w:t>
            </w:r>
            <w:r>
              <w:rPr>
                <w:rFonts w:eastAsia="Calibri"/>
                <w:color w:val="000000"/>
                <w:sz w:val="22"/>
                <w:szCs w:val="22"/>
                <w:lang w:eastAsia="en-US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7" w:type="pct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49 бал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л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ов и менее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</w:tbl>
    <w:p>
      <w:pPr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</w:r>
      <w:r>
        <w:rPr>
          <w:rFonts w:eastAsia="TimesNewRoman"/>
          <w:sz w:val="28"/>
          <w:szCs w:val="28"/>
        </w:rPr>
      </w:r>
    </w:p>
    <w:p>
      <w:pPr>
        <w:rPr>
          <w:rFonts w:eastAsia="TimesNewRoman"/>
        </w:rPr>
      </w:pPr>
      <w:r>
        <w:rPr>
          <w:rFonts w:eastAsia="TimesNewRoman"/>
        </w:rPr>
        <w:t xml:space="preserve">Руководитель курсовой работы</w:t>
      </w:r>
      <w:r>
        <w:rPr>
          <w:rFonts w:eastAsia="TimesNewRoman"/>
        </w:rPr>
        <w:tab/>
      </w:r>
      <w:r>
        <w:rPr>
          <w:rFonts w:eastAsia="TimesNewRoman"/>
        </w:rPr>
        <w:tab/>
      </w:r>
      <w:r>
        <w:rPr>
          <w:rFonts w:eastAsia="TimesNewRoman"/>
        </w:rPr>
        <w:tab/>
      </w:r>
      <w:r>
        <w:rPr>
          <w:rFonts w:eastAsia="TimesNewRoman"/>
        </w:rPr>
        <w:tab/>
      </w:r>
      <w:r>
        <w:rPr>
          <w:rFonts w:eastAsia="TimesNewRoman"/>
        </w:rPr>
        <w:tab/>
      </w:r>
      <w:r>
        <w:rPr>
          <w:rFonts w:eastAsia="TimesNewRoman"/>
        </w:rPr>
        <w:tab/>
      </w:r>
      <w:r>
        <w:rPr>
          <w:rFonts w:eastAsia="TimesNewRoman"/>
        </w:rPr>
        <w:t xml:space="preserve">ФИО</w:t>
      </w:r>
      <w:r>
        <w:rPr>
          <w:rFonts w:eastAsia="TimesNewRoman"/>
        </w:rPr>
      </w:r>
    </w:p>
    <w:p>
      <w:pPr>
        <w:ind w:firstLine="709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Приложение </w:t>
      </w:r>
      <w:r>
        <w:rPr>
          <w:bCs/>
          <w:color w:val="000000"/>
          <w:sz w:val="28"/>
          <w:szCs w:val="28"/>
        </w:rPr>
        <w:t xml:space="preserve">4</w:t>
      </w:r>
      <w:r>
        <w:rPr>
          <w:bCs/>
          <w:color w:val="000000"/>
          <w:sz w:val="28"/>
          <w:szCs w:val="28"/>
        </w:rPr>
      </w:r>
    </w:p>
    <w:p>
      <w:pPr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ПОРЯДОК</w:t>
      </w:r>
      <w:r>
        <w:rPr>
          <w:b/>
          <w:bCs/>
          <w:color w:val="000000"/>
          <w:sz w:val="28"/>
          <w:szCs w:val="28"/>
        </w:rPr>
      </w:r>
    </w:p>
    <w:p>
      <w:pPr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определения степени самостоятельности написания</w:t>
      </w:r>
      <w:r>
        <w:rPr>
          <w:b/>
          <w:bCs/>
          <w:color w:val="000000"/>
          <w:sz w:val="28"/>
          <w:szCs w:val="28"/>
        </w:rPr>
      </w:r>
    </w:p>
    <w:p>
      <w:pPr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студентом курсовой работы</w:t>
      </w:r>
      <w:r>
        <w:rPr>
          <w:b/>
          <w:bCs/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rFonts w:eastAsia="TimesNewRoman"/>
          <w:color w:val="000000"/>
          <w:sz w:val="28"/>
          <w:szCs w:val="28"/>
        </w:rPr>
        <w:t xml:space="preserve">Руководитель работы обязан проверять и оценивать степень самостоятельности выполнения студентом курсовой работы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rFonts w:eastAsia="TimesNewRoman"/>
          <w:color w:val="000000"/>
          <w:sz w:val="28"/>
          <w:szCs w:val="28"/>
        </w:rPr>
        <w:t xml:space="preserve">Самостоятельность выполнения работы оценивается по доле текста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расцениваемого как </w:t>
      </w:r>
      <w:r>
        <w:rPr>
          <w:rFonts w:eastAsia="TimesNewRoman"/>
          <w:color w:val="000000"/>
          <w:sz w:val="28"/>
          <w:szCs w:val="28"/>
        </w:rPr>
        <w:t xml:space="preserve">некорректное заимствование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>
        <w:rPr>
          <w:rFonts w:eastAsia="TimesNewRoman"/>
          <w:color w:val="000000"/>
          <w:sz w:val="28"/>
          <w:szCs w:val="28"/>
        </w:rPr>
        <w:t xml:space="preserve">Некорректное заимствование</w:t>
      </w:r>
      <w:r>
        <w:rPr>
          <w:rFonts w:eastAsia="TimesNewRoman"/>
          <w:color w:val="000000"/>
          <w:sz w:val="28"/>
          <w:szCs w:val="28"/>
        </w:rPr>
        <w:t xml:space="preserve"> определяется как использование в курсовой работе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под видом самостоятельной работы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чужого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опубликованного текста из материалов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опубликованных любым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способом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в том числе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ранее выполненных и защищенных работ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а</w:t>
      </w:r>
      <w:r>
        <w:rPr>
          <w:color w:val="000000"/>
          <w:sz w:val="28"/>
          <w:szCs w:val="28"/>
        </w:rPr>
        <w:t xml:space="preserve">) </w:t>
      </w:r>
      <w:r>
        <w:rPr>
          <w:rFonts w:eastAsia="TimesNewRoman"/>
          <w:color w:val="000000"/>
          <w:sz w:val="28"/>
          <w:szCs w:val="28"/>
        </w:rPr>
        <w:t xml:space="preserve">без полной ссылки на источник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б</w:t>
      </w:r>
      <w:r>
        <w:rPr>
          <w:color w:val="000000"/>
          <w:sz w:val="28"/>
          <w:szCs w:val="28"/>
        </w:rPr>
        <w:t xml:space="preserve">) </w:t>
      </w:r>
      <w:r>
        <w:rPr>
          <w:rFonts w:eastAsia="TimesNewRoman"/>
          <w:color w:val="000000"/>
          <w:sz w:val="28"/>
          <w:szCs w:val="28"/>
        </w:rPr>
        <w:t xml:space="preserve">со ссылками</w:t>
      </w:r>
      <w:r>
        <w:rPr>
          <w:color w:val="000000"/>
          <w:sz w:val="28"/>
          <w:szCs w:val="28"/>
        </w:rPr>
        <w:t xml:space="preserve">, </w:t>
      </w:r>
      <w:r>
        <w:rPr>
          <w:rFonts w:eastAsia="TimesNewRoman"/>
          <w:color w:val="000000"/>
          <w:sz w:val="28"/>
          <w:szCs w:val="28"/>
        </w:rPr>
        <w:t xml:space="preserve">но</w:t>
      </w:r>
      <w:r>
        <w:rPr>
          <w:rFonts w:eastAsia="TimesNewRoman"/>
          <w:color w:val="000000"/>
          <w:sz w:val="28"/>
          <w:szCs w:val="28"/>
        </w:rPr>
        <w:t xml:space="preserve">,</w:t>
      </w:r>
      <w:r>
        <w:rPr>
          <w:rFonts w:eastAsia="TimesNewRoman"/>
          <w:color w:val="000000"/>
          <w:sz w:val="28"/>
          <w:szCs w:val="28"/>
        </w:rPr>
        <w:t xml:space="preserve"> когда объем и характер заимствований ставят под сомнение самостоятельность выполненной работы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Некорректные заимствования</w:t>
      </w:r>
      <w:r>
        <w:rPr>
          <w:rFonts w:eastAsia="TimesNewRoman"/>
          <w:color w:val="000000"/>
          <w:sz w:val="28"/>
          <w:szCs w:val="28"/>
        </w:rPr>
        <w:t xml:space="preserve"> мо</w:t>
      </w:r>
      <w:r>
        <w:rPr>
          <w:rFonts w:eastAsia="TimesNewRoman"/>
          <w:color w:val="000000"/>
          <w:sz w:val="28"/>
          <w:szCs w:val="28"/>
        </w:rPr>
        <w:t xml:space="preserve">гут</w:t>
      </w:r>
      <w:r>
        <w:rPr>
          <w:rFonts w:eastAsia="TimesNewRoman"/>
          <w:color w:val="000000"/>
          <w:sz w:val="28"/>
          <w:szCs w:val="28"/>
        </w:rPr>
        <w:t xml:space="preserve"> осуществляться в двух видах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="TimesNewRoman"/>
          <w:color w:val="000000"/>
          <w:sz w:val="28"/>
          <w:szCs w:val="28"/>
        </w:rPr>
        <w:t xml:space="preserve">дословное воспроизведение чужого текста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="TimesNewRoman"/>
          <w:color w:val="000000"/>
          <w:sz w:val="28"/>
          <w:szCs w:val="28"/>
        </w:rPr>
        <w:t xml:space="preserve">парафраза </w:t>
      </w:r>
      <w:r>
        <w:rPr>
          <w:color w:val="000000"/>
          <w:sz w:val="28"/>
          <w:szCs w:val="28"/>
        </w:rPr>
        <w:t xml:space="preserve">– </w:t>
      </w:r>
      <w:r>
        <w:rPr>
          <w:rFonts w:eastAsia="TimesNewRoman"/>
          <w:color w:val="000000"/>
          <w:sz w:val="28"/>
          <w:szCs w:val="28"/>
        </w:rPr>
        <w:t xml:space="preserve">изложение чужого текста с заменой слов и выражений без изменения содержания заимствованного текста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rFonts w:eastAsia="TimesNewRoman"/>
          <w:color w:val="000000"/>
          <w:sz w:val="28"/>
          <w:szCs w:val="28"/>
        </w:rPr>
        <w:t xml:space="preserve">В представленных студентами текстах курсовой работы допускается наличие </w:t>
      </w:r>
      <w:r>
        <w:rPr>
          <w:rFonts w:eastAsia="TimesNewRoman"/>
          <w:color w:val="000000"/>
          <w:sz w:val="28"/>
          <w:szCs w:val="28"/>
        </w:rPr>
        <w:t xml:space="preserve">объема заимствования не более 40% всего текста</w:t>
      </w:r>
      <w:r>
        <w:rPr>
          <w:color w:val="000000"/>
          <w:sz w:val="28"/>
          <w:szCs w:val="28"/>
        </w:rPr>
        <w:t xml:space="preserve"> </w:t>
      </w:r>
      <w:r>
        <w:rPr>
          <w:rFonts w:eastAsia="TimesNewRoman"/>
          <w:color w:val="000000"/>
          <w:sz w:val="28"/>
          <w:szCs w:val="28"/>
        </w:rPr>
        <w:t xml:space="preserve">работы </w:t>
      </w:r>
      <w:r>
        <w:rPr>
          <w:color w:val="000000"/>
          <w:sz w:val="28"/>
          <w:szCs w:val="28"/>
        </w:rPr>
        <w:t xml:space="preserve">(</w:t>
      </w:r>
      <w:r>
        <w:rPr>
          <w:rFonts w:eastAsia="TimesNewRoman"/>
          <w:color w:val="000000"/>
          <w:sz w:val="28"/>
          <w:szCs w:val="28"/>
        </w:rPr>
        <w:t xml:space="preserve">независимо от раздела</w:t>
      </w:r>
      <w:r>
        <w:rPr>
          <w:color w:val="000000"/>
          <w:sz w:val="28"/>
          <w:szCs w:val="28"/>
        </w:rPr>
        <w:t xml:space="preserve">). Оригинальность всей работы при этом не должна быть ниже 50%.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>
        <w:rPr>
          <w:rFonts w:eastAsia="TimesNewRoman"/>
          <w:color w:val="000000"/>
          <w:sz w:val="28"/>
          <w:szCs w:val="28"/>
        </w:rPr>
        <w:t xml:space="preserve">Оценку степени самостоятельности выполнения студентом курсовой работы руководитель проводит путем анализа представленных студентом текстов</w:t>
      </w:r>
      <w:r>
        <w:rPr>
          <w:color w:val="000000"/>
          <w:sz w:val="28"/>
          <w:szCs w:val="28"/>
        </w:rPr>
        <w:t xml:space="preserve">; </w:t>
      </w:r>
      <w:r>
        <w:rPr>
          <w:rFonts w:eastAsia="TimesNewRoman"/>
          <w:color w:val="000000"/>
          <w:sz w:val="28"/>
          <w:szCs w:val="28"/>
        </w:rPr>
        <w:t xml:space="preserve">оценка заимствований из сетевых источников </w:t>
      </w:r>
      <w:r>
        <w:rPr>
          <w:color w:val="000000"/>
          <w:sz w:val="28"/>
          <w:szCs w:val="28"/>
        </w:rPr>
        <w:t xml:space="preserve">(</w:t>
      </w:r>
      <w:r>
        <w:rPr>
          <w:rFonts w:eastAsia="TimesNewRoman"/>
          <w:color w:val="000000"/>
          <w:sz w:val="28"/>
          <w:szCs w:val="28"/>
        </w:rPr>
        <w:t xml:space="preserve">Интернет</w:t>
      </w:r>
      <w:r>
        <w:rPr>
          <w:color w:val="000000"/>
          <w:sz w:val="28"/>
          <w:szCs w:val="28"/>
        </w:rPr>
        <w:t xml:space="preserve">) </w:t>
      </w:r>
      <w:r>
        <w:rPr>
          <w:rFonts w:eastAsia="TimesNewRoman"/>
          <w:color w:val="000000"/>
          <w:sz w:val="28"/>
          <w:szCs w:val="28"/>
        </w:rPr>
        <w:t xml:space="preserve">и электронной базы </w:t>
      </w:r>
      <w:r>
        <w:rPr>
          <w:rFonts w:eastAsia="TimesNewRoman"/>
          <w:color w:val="000000"/>
          <w:sz w:val="28"/>
          <w:szCs w:val="28"/>
        </w:rPr>
        <w:t xml:space="preserve">Университета</w:t>
      </w:r>
      <w:r>
        <w:rPr>
          <w:rFonts w:eastAsia="TimesNewRoman"/>
          <w:color w:val="000000"/>
          <w:sz w:val="28"/>
          <w:szCs w:val="28"/>
        </w:rPr>
        <w:t xml:space="preserve"> проводится с использованием инструментов портала </w:t>
      </w:r>
      <w:r>
        <w:rPr>
          <w:color w:val="000000"/>
          <w:sz w:val="28"/>
          <w:szCs w:val="28"/>
        </w:rPr>
        <w:t xml:space="preserve">«</w:t>
      </w:r>
      <w:r>
        <w:rPr>
          <w:rFonts w:eastAsia="TimesNewRoman"/>
          <w:color w:val="000000"/>
          <w:sz w:val="28"/>
          <w:szCs w:val="28"/>
        </w:rPr>
        <w:t xml:space="preserve">Антиплагиат</w:t>
      </w:r>
      <w:r>
        <w:rPr>
          <w:color w:val="000000"/>
          <w:sz w:val="28"/>
          <w:szCs w:val="28"/>
        </w:rPr>
        <w:t xml:space="preserve">.</w:t>
      </w:r>
      <w:r>
        <w:rPr>
          <w:rFonts w:eastAsia="TimesNewRoman"/>
          <w:color w:val="000000"/>
          <w:sz w:val="28"/>
          <w:szCs w:val="28"/>
        </w:rPr>
        <w:t xml:space="preserve">вуз</w:t>
      </w:r>
      <w:r>
        <w:rPr>
          <w:color w:val="000000"/>
          <w:sz w:val="28"/>
          <w:szCs w:val="28"/>
        </w:rPr>
        <w:t xml:space="preserve">».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eastAsia="TimesNewRoman"/>
          <w:color w:val="000000"/>
          <w:sz w:val="28"/>
          <w:szCs w:val="28"/>
        </w:rPr>
        <w:t xml:space="preserve">При превышении допустимого объема заимствований выставляется неудовлетворительная оцен</w:t>
      </w:r>
      <w:r>
        <w:rPr>
          <w:rFonts w:eastAsia="TimesNewRoman"/>
          <w:color w:val="000000"/>
          <w:sz w:val="28"/>
          <w:szCs w:val="28"/>
        </w:rPr>
        <w:t xml:space="preserve">к</w:t>
      </w:r>
      <w:r>
        <w:rPr>
          <w:rFonts w:eastAsia="TimesNewRoman"/>
          <w:color w:val="000000"/>
          <w:sz w:val="28"/>
          <w:szCs w:val="28"/>
        </w:rPr>
        <w:t xml:space="preserve">а.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7. При обнаружении прямых заимствований или парафраз в объеме более оговоренного в п. 4, руководитель обязан указать студенту на допущенные нарушения и вернуть текст на доработку.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both"/>
        <w:rPr>
          <w:rFonts w:eastAsia="TimesNewRoman"/>
          <w:color w:val="000000"/>
          <w:sz w:val="28"/>
          <w:szCs w:val="28"/>
        </w:rPr>
        <w:sectPr>
          <w:footerReference w:type="default" r:id="rId9"/>
          <w:footerReference w:type="even" r:id="rId10"/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pgNumType w:start="1"/>
          <w:cols w:num="1" w:sep="0" w:space="708" w:equalWidth="1"/>
          <w:docGrid w:linePitch="360"/>
          <w:titlePg/>
        </w:sectPr>
      </w:pPr>
      <w:r>
        <w:rPr>
          <w:rFonts w:eastAsia="TimesNewRoman"/>
          <w:color w:val="000000"/>
          <w:sz w:val="28"/>
          <w:szCs w:val="28"/>
        </w:rPr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right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Приложение 5</w:t>
      </w:r>
      <w:r>
        <w:rPr>
          <w:rFonts w:eastAsia="TimesNewRoman"/>
          <w:color w:val="000000"/>
          <w:sz w:val="28"/>
          <w:szCs w:val="28"/>
        </w:rPr>
      </w:r>
    </w:p>
    <w:p>
      <w:pPr>
        <w:ind w:firstLine="709"/>
        <w:jc w:val="center"/>
        <w:rPr>
          <w:rFonts w:eastAsia="TimesNewRoman"/>
          <w:color w:val="000000" w:themeColor="text1"/>
          <w:sz w:val="28"/>
          <w:szCs w:val="28"/>
        </w:rPr>
      </w:pPr>
      <w:r>
        <w:rPr>
          <w:rFonts w:eastAsia="TimesNewRoman"/>
          <w:color w:val="000000" w:themeColor="text1"/>
          <w:sz w:val="28"/>
          <w:szCs w:val="28"/>
        </w:rPr>
        <w:t xml:space="preserve">Образец структуры и оформления курсовой работы</w:t>
      </w:r>
      <w:r>
        <w:rPr>
          <w:rFonts w:eastAsia="TimesNewRoman"/>
          <w:color w:val="000000" w:themeColor="text1"/>
          <w:sz w:val="28"/>
          <w:szCs w:val="28"/>
        </w:rPr>
      </w:r>
    </w:p>
    <w:p>
      <w:pPr>
        <w:ind w:firstLine="709"/>
        <w:jc w:val="center"/>
        <w:rPr>
          <w:rFonts w:eastAsia="TimesNewRoman"/>
          <w:color w:val="000000" w:themeColor="text1"/>
          <w:sz w:val="28"/>
          <w:szCs w:val="28"/>
        </w:rPr>
      </w:pPr>
      <w:r>
        <w:rPr>
          <w:rFonts w:eastAsia="TimesNewRoman"/>
          <w:color w:val="000000" w:themeColor="text1"/>
          <w:sz w:val="28"/>
          <w:szCs w:val="28"/>
        </w:rPr>
        <w:t xml:space="preserve">Титульный лист формируется автоматически в Личном кабинете студента</w:t>
      </w:r>
      <w:r>
        <w:rPr>
          <w:rFonts w:eastAsia="TimesNewRoman"/>
          <w:color w:val="000000" w:themeColor="text1"/>
          <w:sz w:val="28"/>
          <w:szCs w:val="28"/>
        </w:rPr>
      </w:r>
    </w:p>
    <w:p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93159" cy="8051470"/>
                <wp:effectExtent l="0" t="0" r="0" b="6985"/>
                <wp:docPr id="3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802316" cy="80641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56.15pt;height:633.97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eastAsia="Calibri"/>
          <w:b/>
          <w:sz w:val="28"/>
          <w:szCs w:val="28"/>
          <w:lang w:eastAsia="en-US"/>
        </w:rPr>
        <w:br w:type="page" w:clear="all"/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ОГЛАВЛЕНИЕ</w:t>
      </w:r>
      <w:r>
        <w:rPr>
          <w:rFonts w:eastAsia="Calibri"/>
          <w:sz w:val="28"/>
          <w:szCs w:val="28"/>
          <w:lang w:eastAsia="en-US"/>
        </w:rPr>
      </w:r>
    </w:p>
    <w:sdt>
      <w:sdtPr>
        <w15:appearance w15:val="boundingBox"/>
        <w:id w:val="616415834"/>
        <w:docPartObj>
          <w:docPartGallery w:val="Table of Contents"/>
          <w:docPartUnique w:val="true"/>
        </w:docPartObj>
        <w:rPr>
          <w:rFonts w:ascii="Calibri" w:hAnsi="Calibri" w:eastAsia="Calibri"/>
          <w:sz w:val="22"/>
          <w:szCs w:val="22"/>
          <w:lang w:eastAsia="en-US"/>
        </w:rPr>
      </w:sdtPr>
      <w:sdtContent>
        <w:p>
          <w:pPr>
            <w:keepLines/>
            <w:keepNext/>
            <w:spacing w:line="276" w:lineRule="auto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</w:r>
          <w:r>
            <w:rPr>
              <w:b/>
              <w:bCs/>
              <w:sz w:val="28"/>
              <w:szCs w:val="28"/>
            </w:rPr>
          </w:r>
        </w:p>
        <w:p>
          <w:pPr>
            <w:spacing w:line="360" w:lineRule="auto"/>
            <w:tabs>
              <w:tab w:val="right" w:pos="9345" w:leader="dot"/>
            </w:tabs>
            <w:rPr>
              <w:sz w:val="28"/>
              <w:szCs w:val="28"/>
            </w:rPr>
          </w:pPr>
          <w:r>
            <w:rPr>
              <w:rFonts w:ascii="Calibri" w:hAnsi="Calibri" w:eastAsia="Calibri"/>
              <w:sz w:val="22"/>
              <w:szCs w:val="22"/>
              <w:lang w:eastAsia="en-US"/>
            </w:rPr>
            <w:fldChar w:fldCharType="begin"/>
          </w:r>
          <w:r>
            <w:rPr>
              <w:rFonts w:ascii="Calibri" w:hAnsi="Calibri" w:eastAsia="Calibri"/>
              <w:sz w:val="22"/>
              <w:szCs w:val="22"/>
              <w:lang w:eastAsia="en-US"/>
            </w:rPr>
            <w:instrText xml:space="preserve"> TOC \o "1-3" \h \z \u </w:instrText>
          </w:r>
          <w:r>
            <w:rPr>
              <w:rFonts w:ascii="Calibri" w:hAnsi="Calibri" w:eastAsia="Calibri"/>
              <w:sz w:val="22"/>
              <w:szCs w:val="22"/>
              <w:lang w:eastAsia="en-US"/>
            </w:rPr>
            <w:fldChar w:fldCharType="separate"/>
          </w:r>
          <w:hyperlink w:tooltip="#_Toc82684825" w:anchor="_Toc82684825" w:history="1">
            <w:r>
              <w:rPr>
                <w:rFonts w:eastAsia="Calibri"/>
                <w:sz w:val="28"/>
                <w:szCs w:val="28"/>
                <w:lang w:eastAsia="en-US"/>
              </w:rPr>
              <w:t xml:space="preserve">ВВЕДЕНИЕ</w:t>
            </w:r>
            <w:r>
              <w:rPr>
                <w:rFonts w:eastAsia="Calibri"/>
                <w:sz w:val="28"/>
                <w:szCs w:val="28"/>
                <w:lang w:eastAsia="en-US"/>
              </w:rPr>
              <w:tab/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eastAsia="Calibri"/>
                <w:sz w:val="28"/>
                <w:szCs w:val="28"/>
                <w:lang w:eastAsia="en-US"/>
              </w:rPr>
              <w:instrText xml:space="preserve"> PAGEREF _Toc82684825 \h </w:instrTex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4</w:t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end"/>
            </w:r>
          </w:hyperlink>
          <w:r/>
          <w:r>
            <w:rPr>
              <w:sz w:val="28"/>
              <w:szCs w:val="28"/>
            </w:rPr>
          </w:r>
        </w:p>
        <w:p>
          <w:pPr>
            <w:spacing w:line="360" w:lineRule="auto"/>
            <w:tabs>
              <w:tab w:val="right" w:pos="9345" w:leader="dot"/>
            </w:tabs>
            <w:rPr>
              <w:sz w:val="28"/>
              <w:szCs w:val="28"/>
            </w:rPr>
          </w:pPr>
          <w:r/>
          <w:hyperlink w:tooltip="#_Toc82684826" w:anchor="_Toc82684826" w:history="1">
            <w:r>
              <w:rPr>
                <w:rFonts w:eastAsia="Calibri"/>
                <w:sz w:val="28"/>
                <w:szCs w:val="28"/>
                <w:lang w:eastAsia="en-US"/>
              </w:rPr>
              <w:t xml:space="preserve">ГЛАВА 1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.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ТЕОРЕТИЧЕСКИЕ ОСНОВЫ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ОБЕСПЕЧЕНИЯ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КАЧЕСТВА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И ДОСТУПНОСТИ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ГОСУДАРСТВЕННЫХ УСЛУГ</w:t>
            </w:r>
            <w:r>
              <w:rPr>
                <w:rFonts w:eastAsia="Calibri"/>
                <w:sz w:val="28"/>
                <w:szCs w:val="28"/>
                <w:lang w:eastAsia="en-US"/>
              </w:rPr>
              <w:tab/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eastAsia="Calibri"/>
                <w:sz w:val="28"/>
                <w:szCs w:val="28"/>
                <w:lang w:eastAsia="en-US"/>
              </w:rPr>
              <w:instrText xml:space="preserve"> PAGEREF _Toc82684826 \h </w:instrTex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5</w:t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end"/>
            </w:r>
          </w:hyperlink>
          <w:r/>
          <w:r>
            <w:rPr>
              <w:sz w:val="28"/>
              <w:szCs w:val="28"/>
            </w:rPr>
          </w:r>
        </w:p>
        <w:p>
          <w:pPr>
            <w:ind w:left="220"/>
            <w:spacing w:line="360" w:lineRule="auto"/>
            <w:tabs>
              <w:tab w:val="left" w:pos="880" w:leader="none"/>
              <w:tab w:val="right" w:pos="9345" w:leader="dot"/>
            </w:tabs>
            <w:rPr>
              <w:sz w:val="28"/>
              <w:szCs w:val="28"/>
            </w:rPr>
          </w:pPr>
          <w:r/>
          <w:hyperlink w:tooltip="#_Toc82684827" w:anchor="_Toc82684827" w:history="1">
            <w:r>
              <w:rPr>
                <w:rFonts w:eastAsia="Calibri"/>
                <w:sz w:val="28"/>
                <w:szCs w:val="28"/>
                <w:lang w:eastAsia="en-US"/>
              </w:rPr>
              <w:t xml:space="preserve">1.1</w:t>
            </w:r>
            <w:r>
              <w:rPr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Понятие и сущность качества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и доступности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государственных услуг</w:t>
            </w:r>
            <w:r>
              <w:rPr>
                <w:rFonts w:eastAsia="Calibri"/>
                <w:sz w:val="28"/>
                <w:szCs w:val="28"/>
                <w:lang w:eastAsia="en-US"/>
              </w:rPr>
              <w:tab/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eastAsia="Calibri"/>
                <w:sz w:val="28"/>
                <w:szCs w:val="28"/>
                <w:lang w:eastAsia="en-US"/>
              </w:rPr>
              <w:instrText xml:space="preserve"> PAGEREF _Toc82684827 \h </w:instrTex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5</w:t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end"/>
            </w:r>
          </w:hyperlink>
          <w:r/>
          <w:r>
            <w:rPr>
              <w:sz w:val="28"/>
              <w:szCs w:val="28"/>
            </w:rPr>
          </w:r>
        </w:p>
        <w:p>
          <w:pPr>
            <w:ind w:left="220"/>
            <w:spacing w:line="360" w:lineRule="auto"/>
            <w:tabs>
              <w:tab w:val="left" w:pos="880" w:leader="none"/>
              <w:tab w:val="right" w:pos="9345" w:leader="dot"/>
            </w:tabs>
            <w:rPr>
              <w:sz w:val="28"/>
              <w:szCs w:val="28"/>
            </w:rPr>
          </w:pPr>
          <w:r/>
          <w:hyperlink w:tooltip="#_Toc82684832" w:anchor="_Toc82684832" w:history="1">
            <w:r>
              <w:rPr>
                <w:rFonts w:eastAsia="Calibri"/>
                <w:sz w:val="28"/>
                <w:szCs w:val="28"/>
                <w:lang w:eastAsia="en-US"/>
              </w:rPr>
              <w:t xml:space="preserve">1.2</w:t>
            </w:r>
            <w:r>
              <w:rPr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Особенности предоставления государственных услуг в МФЦ</w:t>
            </w:r>
            <w:r>
              <w:rPr>
                <w:rFonts w:eastAsia="Calibri"/>
                <w:sz w:val="28"/>
                <w:szCs w:val="28"/>
                <w:lang w:eastAsia="en-US"/>
              </w:rPr>
              <w:tab/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eastAsia="Calibri"/>
                <w:sz w:val="28"/>
                <w:szCs w:val="28"/>
                <w:lang w:eastAsia="en-US"/>
              </w:rPr>
              <w:instrText xml:space="preserve"> PAGEREF _Toc82684832 \h </w:instrTex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14</w:t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end"/>
            </w:r>
          </w:hyperlink>
          <w:r/>
          <w:r>
            <w:rPr>
              <w:sz w:val="28"/>
              <w:szCs w:val="28"/>
            </w:rPr>
          </w:r>
        </w:p>
        <w:p>
          <w:pPr>
            <w:ind w:left="220"/>
            <w:spacing w:line="360" w:lineRule="auto"/>
            <w:tabs>
              <w:tab w:val="left" w:pos="880" w:leader="none"/>
              <w:tab w:val="right" w:pos="9345" w:leader="dot"/>
            </w:tabs>
            <w:rPr>
              <w:sz w:val="28"/>
              <w:szCs w:val="28"/>
            </w:rPr>
          </w:pPr>
          <w:r/>
          <w:hyperlink w:tooltip="#_Toc82684833" w:anchor="_Toc82684833" w:history="1">
            <w:r>
              <w:rPr>
                <w:rFonts w:eastAsia="Calibri"/>
                <w:sz w:val="28"/>
                <w:szCs w:val="28"/>
                <w:lang w:eastAsia="en-US"/>
              </w:rPr>
              <w:t xml:space="preserve">1.3</w:t>
            </w:r>
            <w:r>
              <w:rPr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Процесс предоставления государственных услуг</w:t>
            </w:r>
            <w:r>
              <w:rPr>
                <w:rFonts w:eastAsia="Calibri"/>
                <w:sz w:val="28"/>
                <w:szCs w:val="28"/>
                <w:lang w:eastAsia="en-US"/>
              </w:rPr>
              <w:tab/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eastAsia="Calibri"/>
                <w:sz w:val="28"/>
                <w:szCs w:val="28"/>
                <w:lang w:eastAsia="en-US"/>
              </w:rPr>
              <w:instrText xml:space="preserve"> PAGEREF _Toc82684833 \h </w:instrTex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16</w:t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end"/>
            </w:r>
          </w:hyperlink>
          <w:r/>
          <w:r>
            <w:rPr>
              <w:sz w:val="28"/>
              <w:szCs w:val="28"/>
            </w:rPr>
          </w:r>
        </w:p>
        <w:p>
          <w:pPr>
            <w:spacing w:line="360" w:lineRule="auto"/>
            <w:tabs>
              <w:tab w:val="right" w:pos="9345" w:leader="dot"/>
            </w:tabs>
            <w:rPr>
              <w:sz w:val="28"/>
              <w:szCs w:val="28"/>
            </w:rPr>
          </w:pPr>
          <w:r/>
          <w:hyperlink w:tooltip="#_Toc82684837" w:anchor="_Toc82684837" w:history="1">
            <w:r>
              <w:rPr>
                <w:rFonts w:eastAsia="Calibri"/>
                <w:sz w:val="28"/>
                <w:szCs w:val="28"/>
                <w:lang w:eastAsia="en-US"/>
              </w:rPr>
              <w:t xml:space="preserve">ГЛАВА 2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.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ИССЛЕДОВАНИЕ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КАЧЕСТВА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И ДОСТУПНОСТИ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ПРЕДОСТАВЛЕНИЯ ГОСУДАРСТВЕННЫХ УСЛУГ В МБУ «МФЦ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Г. КОРОЛЁВ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»</w:t>
            </w:r>
            <w:r>
              <w:rPr>
                <w:rFonts w:eastAsia="Calibri"/>
                <w:sz w:val="28"/>
                <w:szCs w:val="28"/>
                <w:lang w:eastAsia="en-US"/>
              </w:rPr>
              <w:tab/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eastAsia="Calibri"/>
                <w:sz w:val="28"/>
                <w:szCs w:val="28"/>
                <w:lang w:eastAsia="en-US"/>
              </w:rPr>
              <w:instrText xml:space="preserve"> PAGEREF _Toc82684837 \h </w:instrTex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23</w:t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end"/>
            </w:r>
          </w:hyperlink>
          <w:r/>
          <w:r>
            <w:rPr>
              <w:sz w:val="28"/>
              <w:szCs w:val="28"/>
            </w:rPr>
          </w:r>
        </w:p>
        <w:p>
          <w:pPr>
            <w:ind w:left="220"/>
            <w:spacing w:line="360" w:lineRule="auto"/>
            <w:tabs>
              <w:tab w:val="right" w:pos="9345" w:leader="dot"/>
            </w:tabs>
            <w:rPr>
              <w:sz w:val="28"/>
              <w:szCs w:val="28"/>
            </w:rPr>
          </w:pPr>
          <w:r/>
          <w:hyperlink w:tooltip="#_Toc82684838" w:anchor="_Toc82684838" w:history="1">
            <w:r>
              <w:rPr>
                <w:rFonts w:eastAsia="Calibri"/>
                <w:sz w:val="28"/>
                <w:szCs w:val="28"/>
                <w:lang w:eastAsia="en-US"/>
              </w:rPr>
              <w:t xml:space="preserve">2.1 Организационно-управленческая характеристика МБУ «МФЦ г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орода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Королёв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»</w:t>
            </w:r>
            <w:r>
              <w:rPr>
                <w:rFonts w:eastAsia="Calibri"/>
                <w:sz w:val="28"/>
                <w:szCs w:val="28"/>
                <w:lang w:eastAsia="en-US"/>
              </w:rPr>
              <w:tab/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eastAsia="Calibri"/>
                <w:sz w:val="28"/>
                <w:szCs w:val="28"/>
                <w:lang w:eastAsia="en-US"/>
              </w:rPr>
              <w:instrText xml:space="preserve"> PAGEREF _Toc82684838 \h </w:instrTex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23</w:t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end"/>
            </w:r>
          </w:hyperlink>
          <w:r/>
          <w:r>
            <w:rPr>
              <w:sz w:val="28"/>
              <w:szCs w:val="28"/>
            </w:rPr>
          </w:r>
        </w:p>
        <w:p>
          <w:pPr>
            <w:ind w:left="220"/>
            <w:spacing w:line="360" w:lineRule="auto"/>
            <w:tabs>
              <w:tab w:val="right" w:pos="9345" w:leader="dot"/>
            </w:tabs>
            <w:rPr>
              <w:sz w:val="28"/>
              <w:szCs w:val="28"/>
            </w:rPr>
          </w:pPr>
          <w:r/>
          <w:hyperlink w:tooltip="#_Toc82684839" w:anchor="_Toc82684839" w:history="1">
            <w:r>
              <w:rPr>
                <w:rFonts w:eastAsia="Calibri"/>
                <w:sz w:val="28"/>
                <w:szCs w:val="28"/>
                <w:lang w:eastAsia="en-US"/>
              </w:rPr>
              <w:t xml:space="preserve">2.2 Анализ качества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и доступности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предоставления государственных услуг МБУ </w:t>
            </w:r>
            <w:r>
              <w:rPr>
                <w:sz w:val="28"/>
                <w:szCs w:val="28"/>
              </w:rPr>
              <w:t xml:space="preserve">«</w:t>
            </w:r>
            <w:r>
              <w:rPr>
                <w:sz w:val="28"/>
                <w:szCs w:val="28"/>
              </w:rPr>
              <w:t xml:space="preserve">МФЦ города Королева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rFonts w:eastAsia="Calibri"/>
                <w:sz w:val="28"/>
                <w:szCs w:val="28"/>
                <w:lang w:eastAsia="en-US"/>
              </w:rPr>
              <w:tab/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eastAsia="Calibri"/>
                <w:sz w:val="28"/>
                <w:szCs w:val="28"/>
                <w:lang w:eastAsia="en-US"/>
              </w:rPr>
              <w:instrText xml:space="preserve"> PAGEREF _Toc82684839 \h </w:instrTex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26</w:t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end"/>
            </w:r>
          </w:hyperlink>
          <w:r/>
          <w:r>
            <w:rPr>
              <w:sz w:val="28"/>
              <w:szCs w:val="28"/>
            </w:rPr>
          </w:r>
        </w:p>
        <w:p>
          <w:pPr>
            <w:spacing w:line="360" w:lineRule="auto"/>
            <w:tabs>
              <w:tab w:val="right" w:pos="9345" w:leader="dot"/>
            </w:tabs>
            <w:rPr>
              <w:sz w:val="28"/>
              <w:szCs w:val="28"/>
            </w:rPr>
          </w:pPr>
          <w:r/>
          <w:hyperlink w:tooltip="#_Toc82684843" w:anchor="_Toc82684843" w:history="1">
            <w:r>
              <w:rPr>
                <w:rFonts w:eastAsia="Calibri"/>
                <w:sz w:val="28"/>
                <w:szCs w:val="28"/>
                <w:lang w:eastAsia="en-US"/>
              </w:rPr>
              <w:t xml:space="preserve">ЗАКЛЮЧЕНИЕ</w:t>
            </w:r>
            <w:r>
              <w:rPr>
                <w:rFonts w:eastAsia="Calibri"/>
                <w:sz w:val="28"/>
                <w:szCs w:val="28"/>
                <w:lang w:eastAsia="en-US"/>
              </w:rPr>
              <w:tab/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eastAsia="Calibri"/>
                <w:sz w:val="28"/>
                <w:szCs w:val="28"/>
                <w:lang w:eastAsia="en-US"/>
              </w:rPr>
              <w:instrText xml:space="preserve"> PAGEREF _Toc82684843 \h </w:instrTex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32</w:t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end"/>
            </w:r>
          </w:hyperlink>
          <w:r/>
          <w:r>
            <w:rPr>
              <w:sz w:val="28"/>
              <w:szCs w:val="28"/>
            </w:rPr>
          </w:r>
        </w:p>
        <w:p>
          <w:pPr>
            <w:spacing w:line="360" w:lineRule="auto"/>
            <w:tabs>
              <w:tab w:val="right" w:pos="9345" w:leader="dot"/>
            </w:tabs>
            <w:rPr>
              <w:rFonts w:eastAsia="Calibri"/>
              <w:sz w:val="28"/>
              <w:szCs w:val="28"/>
              <w:lang w:eastAsia="en-US"/>
            </w:rPr>
          </w:pPr>
          <w:r/>
          <w:hyperlink w:tooltip="#_Toc82684844" w:anchor="_Toc82684844" w:history="1">
            <w:r>
              <w:rPr>
                <w:rFonts w:eastAsia="Calibri"/>
                <w:sz w:val="28"/>
                <w:szCs w:val="28"/>
                <w:lang w:eastAsia="en-US"/>
              </w:rPr>
              <w:t xml:space="preserve">СПИСОК ИСПОЛЬЗОВАННЫХ ИСТОЧНИКОВ</w:t>
            </w:r>
            <w:r>
              <w:rPr>
                <w:rFonts w:eastAsia="Calibri"/>
                <w:sz w:val="28"/>
                <w:szCs w:val="28"/>
                <w:lang w:eastAsia="en-US"/>
              </w:rPr>
              <w:tab/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eastAsia="Calibri"/>
                <w:sz w:val="28"/>
                <w:szCs w:val="28"/>
                <w:lang w:eastAsia="en-US"/>
              </w:rPr>
              <w:instrText xml:space="preserve"> PAGEREF _Toc82684844 \h </w:instrTex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34</w:t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end"/>
            </w:r>
          </w:hyperlink>
          <w:r/>
          <w:r>
            <w:rPr>
              <w:rFonts w:eastAsia="Calibri"/>
              <w:sz w:val="28"/>
              <w:szCs w:val="28"/>
              <w:lang w:eastAsia="en-US"/>
            </w:rPr>
          </w:r>
        </w:p>
        <w:p>
          <w:pPr>
            <w:spacing w:line="360" w:lineRule="auto"/>
            <w:tabs>
              <w:tab w:val="right" w:pos="9345" w:leader="dot"/>
            </w:tabs>
            <w:rPr>
              <w:sz w:val="28"/>
              <w:szCs w:val="28"/>
            </w:rPr>
          </w:pPr>
          <w:r>
            <w:rPr>
              <w:rFonts w:eastAsia="Calibri"/>
              <w:sz w:val="28"/>
              <w:szCs w:val="28"/>
              <w:lang w:eastAsia="en-US"/>
            </w:rPr>
            <w:t xml:space="preserve">ПРИЛОЖЕНИЯ</w:t>
          </w:r>
          <w:r>
            <w:rPr>
              <w:rFonts w:eastAsia="Calibri"/>
              <w:sz w:val="28"/>
              <w:szCs w:val="28"/>
              <w:lang w:eastAsia="en-US"/>
            </w:rPr>
            <w:tab/>
            <w:t xml:space="preserve">37</w:t>
          </w:r>
          <w:r>
            <w:rPr>
              <w:sz w:val="28"/>
              <w:szCs w:val="28"/>
            </w:rPr>
          </w:r>
        </w:p>
        <w:p>
          <w:pPr>
            <w:ind w:firstLine="709"/>
            <w:spacing w:line="360" w:lineRule="auto"/>
            <w:tabs>
              <w:tab w:val="right" w:pos="9345" w:leader="dot"/>
            </w:tabs>
            <w:rPr>
              <w:rFonts w:ascii="Calibri" w:hAnsi="Calibri"/>
              <w:sz w:val="22"/>
              <w:szCs w:val="22"/>
            </w:rPr>
          </w:pPr>
          <w:r>
            <w:rPr>
              <w:rFonts w:ascii="Calibri" w:hAnsi="Calibri" w:eastAsia="Calibri"/>
              <w:b/>
              <w:bCs/>
              <w:sz w:val="22"/>
              <w:szCs w:val="22"/>
              <w:lang w:eastAsia="en-US"/>
            </w:rPr>
            <w:fldChar w:fldCharType="end"/>
          </w:r>
          <w:r>
            <w:rPr>
              <w:rFonts w:ascii="Calibri" w:hAnsi="Calibri"/>
              <w:sz w:val="22"/>
              <w:szCs w:val="22"/>
            </w:rPr>
          </w:r>
        </w:p>
      </w:sdtContent>
    </w:sdt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/>
      <w:bookmarkStart w:id="7" w:name="_Toc65500473"/>
      <w:r/>
      <w:bookmarkStart w:id="8" w:name="_Toc65500788"/>
      <w:r/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spacing w:after="200" w:line="276" w:lineRule="auto"/>
        <w:rPr>
          <w:b/>
          <w:bCs/>
          <w:sz w:val="32"/>
          <w:szCs w:val="28"/>
          <w:lang w:eastAsia="en-US"/>
        </w:rPr>
      </w:pPr>
      <w:r>
        <w:rPr>
          <w:rFonts w:eastAsia="Calibri"/>
          <w:sz w:val="32"/>
          <w:szCs w:val="22"/>
          <w:lang w:eastAsia="en-US"/>
        </w:rPr>
        <w:br w:type="page" w:clear="all"/>
      </w:r>
      <w:r>
        <w:rPr>
          <w:b/>
          <w:bCs/>
          <w:sz w:val="32"/>
          <w:szCs w:val="28"/>
          <w:lang w:eastAsia="en-US"/>
        </w:rPr>
      </w:r>
    </w:p>
    <w:p>
      <w:pPr>
        <w:jc w:val="center"/>
        <w:keepLines/>
        <w:keepNext/>
        <w:spacing w:line="360" w:lineRule="auto"/>
        <w:rPr>
          <w:b/>
          <w:bCs/>
          <w:sz w:val="32"/>
          <w:szCs w:val="28"/>
          <w:lang w:eastAsia="en-US"/>
        </w:rPr>
        <w:outlineLvl w:val="0"/>
      </w:pPr>
      <w:r/>
      <w:bookmarkStart w:id="9" w:name="_Toc82684825"/>
      <w:r>
        <w:rPr>
          <w:b/>
          <w:bCs/>
          <w:sz w:val="32"/>
          <w:szCs w:val="28"/>
          <w:lang w:eastAsia="en-US"/>
        </w:rPr>
        <w:t xml:space="preserve">ВВЕДЕНИЕ</w:t>
      </w:r>
      <w:bookmarkEnd w:id="9"/>
      <w:r/>
      <w:r>
        <w:rPr>
          <w:b/>
          <w:bCs/>
          <w:sz w:val="32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Проблема качества и доступности государственных услуг является важной задачей,</w:t>
      </w:r>
      <w:r>
        <w:rPr>
          <w:rFonts w:eastAsia="Calibri"/>
          <w:sz w:val="28"/>
          <w:szCs w:val="28"/>
          <w:lang w:eastAsia="en-US"/>
        </w:rPr>
        <w:t xml:space="preserve"> которая стоит перед Российской Федерацией. Решение данной проблемы, а также вопросы повышения качества исполнения государственных функций, является важным этапом развития государственного управления как для страны в целом, так и для регионов в частности. </w:t>
      </w:r>
      <w:r>
        <w:rPr>
          <w:rFonts w:eastAsia="Calibri"/>
          <w:sz w:val="28"/>
          <w:szCs w:val="28"/>
          <w:lang w:eastAsia="en-US"/>
        </w:rPr>
      </w:r>
    </w:p>
    <w:p>
      <w:pPr>
        <w:ind w:left="-15" w:right="64"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Данная тема </w:t>
      </w:r>
      <w:r>
        <w:rPr>
          <w:rFonts w:eastAsia="Calibri"/>
          <w:bCs/>
          <w:sz w:val="28"/>
          <w:szCs w:val="28"/>
          <w:lang w:eastAsia="en-US"/>
        </w:rPr>
        <w:t xml:space="preserve">актуальна</w:t>
      </w:r>
      <w:r>
        <w:rPr>
          <w:rFonts w:eastAsia="Calibri"/>
          <w:sz w:val="28"/>
          <w:szCs w:val="28"/>
          <w:lang w:eastAsia="en-US"/>
        </w:rPr>
        <w:t xml:space="preserve">, так как вопрос улучшения качества предоставления государственных услуг населению носит комплексный характер и влияет на различные сферы государственного управления.</w:t>
      </w:r>
      <w:r>
        <w:rPr>
          <w:rFonts w:eastAsia="Calibri"/>
          <w:sz w:val="28"/>
          <w:szCs w:val="28"/>
          <w:lang w:eastAsia="en-US"/>
        </w:rPr>
      </w:r>
    </w:p>
    <w:p>
      <w:pPr>
        <w:ind w:left="-15" w:right="64"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Степень разработанности проблемы</w:t>
      </w:r>
      <w:r>
        <w:rPr>
          <w:rFonts w:eastAsia="Calibri"/>
          <w:sz w:val="28"/>
          <w:szCs w:val="28"/>
          <w:lang w:eastAsia="en-US"/>
        </w:rPr>
        <w:t xml:space="preserve"> нашла отражение в трудах ученых М.В. Глигич–Золотарева, Мальцева И.Н., а также специалистов по исследованию качества предоставления государственных и муниципальных услуг: Сарафонова В.И., Чаннова С.Е., Червяковского А.В., Яковлевой Н.А. и др.</w:t>
      </w:r>
      <w:r>
        <w:rPr>
          <w:rFonts w:eastAsia="Calibri"/>
          <w:sz w:val="28"/>
          <w:szCs w:val="28"/>
          <w:lang w:eastAsia="en-US"/>
        </w:rPr>
      </w:r>
    </w:p>
    <w:p>
      <w:pPr>
        <w:ind w:left="-15" w:right="64"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Объект исследования – функционирующая система предоставления государственных услуг.</w:t>
      </w:r>
      <w:r>
        <w:rPr>
          <w:rFonts w:eastAsia="Calibri"/>
          <w:sz w:val="28"/>
          <w:szCs w:val="28"/>
          <w:lang w:eastAsia="en-US"/>
        </w:rPr>
      </w:r>
    </w:p>
    <w:p>
      <w:pPr>
        <w:ind w:left="-15" w:right="64"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Предмет исследования – совокупность параметров качества и доступности государственных услуг, предоставляемых населению в Муниципальном бюджетном учреждении «МФЦ города Королёва».</w:t>
      </w:r>
      <w:r>
        <w:rPr>
          <w:rFonts w:eastAsia="Calibri"/>
          <w:sz w:val="28"/>
          <w:szCs w:val="28"/>
          <w:lang w:eastAsia="en-US"/>
        </w:rPr>
      </w:r>
    </w:p>
    <w:p>
      <w:pPr>
        <w:ind w:left="-15" w:right="64"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Целью исследования является исследование качества и доступности услуг населению и выявление ключевых проблем их оказания на примере МБУ «МФЦ города Королёва».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Для достижения цели исследования необходимо решить следующие задачи, а именно: </w:t>
      </w:r>
      <w:r>
        <w:rPr>
          <w:rFonts w:eastAsia="Calibri"/>
          <w:sz w:val="28"/>
          <w:szCs w:val="28"/>
          <w:lang w:eastAsia="en-US"/>
        </w:rPr>
      </w:r>
    </w:p>
    <w:p>
      <w:pPr>
        <w:contextualSpacing/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рассмотреть понятие и сущность качества предоставления государственных услуг; </w:t>
      </w:r>
      <w:r>
        <w:rPr>
          <w:rFonts w:eastAsia="Calibri"/>
          <w:sz w:val="28"/>
          <w:szCs w:val="28"/>
          <w:lang w:eastAsia="en-US"/>
        </w:rPr>
      </w:r>
    </w:p>
    <w:p>
      <w:pPr>
        <w:contextualSpacing/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рассмотреть особенности и процесс предоставления государственных услуг в МФЦ;</w:t>
      </w:r>
      <w:r>
        <w:rPr>
          <w:rFonts w:eastAsia="Calibri"/>
          <w:sz w:val="28"/>
          <w:szCs w:val="28"/>
          <w:lang w:eastAsia="en-US"/>
        </w:rPr>
      </w:r>
    </w:p>
    <w:p>
      <w:pPr>
        <w:contextualSpacing/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дать общую характеристику Муниципальному бюджетному учреждению города Королёва Московской области «Многофункциональный центр предоставления государственных и муниципальных услуг»; </w:t>
      </w:r>
      <w:r>
        <w:rPr>
          <w:rFonts w:eastAsia="Calibri"/>
          <w:sz w:val="28"/>
          <w:szCs w:val="28"/>
          <w:lang w:eastAsia="en-US"/>
        </w:rPr>
      </w:r>
    </w:p>
    <w:p>
      <w:pPr>
        <w:contextualSpacing/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исследовать качество и доступность оказания услуг населению и выявить основные проблемы.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Работа выполнена в соответствии с методическими рекомендациями, содержит введение, теоретическую главу, аналитическую главу, заключение, список использованных источников. </w:t>
      </w:r>
      <w:r>
        <w:rPr>
          <w:rFonts w:eastAsia="Calibri"/>
          <w:sz w:val="28"/>
          <w:szCs w:val="28"/>
          <w:lang w:eastAsia="en-US"/>
        </w:rPr>
      </w:r>
    </w:p>
    <w:p>
      <w:pPr>
        <w:ind w:left="-15" w:right="64"/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right="64"/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right="64"/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 w:clear="all"/>
      </w:r>
      <w:r>
        <w:rPr>
          <w:rFonts w:eastAsia="Calibri"/>
          <w:sz w:val="28"/>
          <w:szCs w:val="28"/>
          <w:lang w:eastAsia="en-US"/>
        </w:rPr>
      </w:r>
    </w:p>
    <w:p>
      <w:pPr>
        <w:ind w:left="709"/>
        <w:jc w:val="center"/>
        <w:keepLines/>
        <w:keepNext/>
        <w:spacing w:line="360" w:lineRule="auto"/>
        <w:rPr>
          <w:b/>
          <w:bCs/>
          <w:sz w:val="28"/>
          <w:lang w:eastAsia="en-US"/>
        </w:rPr>
        <w:outlineLvl w:val="0"/>
      </w:pPr>
      <w:r/>
      <w:bookmarkStart w:id="10" w:name="_Toc82684826"/>
      <w:r>
        <w:rPr>
          <w:b/>
          <w:bCs/>
          <w:sz w:val="28"/>
          <w:lang w:eastAsia="en-US"/>
        </w:rPr>
        <w:t xml:space="preserve">ГЛАВА 1 ТЕОРЕТИЧЕСКИЕ ОСНОВЫ ОБЕСПЕЧЕНИЯ КАЧЕСТВА И ДОСТУПНОСТИ ГОСУДАРСТВЕННЫХ УСЛУГ НАСЕЛЕНИЮ</w:t>
      </w:r>
      <w:bookmarkEnd w:id="7"/>
      <w:r/>
      <w:bookmarkEnd w:id="8"/>
      <w:r/>
      <w:bookmarkEnd w:id="10"/>
      <w:r/>
      <w:r>
        <w:rPr>
          <w:b/>
          <w:bCs/>
          <w:sz w:val="28"/>
          <w:lang w:eastAsia="en-US"/>
        </w:rPr>
      </w:r>
    </w:p>
    <w:p>
      <w:pPr>
        <w:spacing w:after="200" w:line="276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ind w:left="709"/>
        <w:jc w:val="center"/>
        <w:keepLines/>
        <w:keepNext/>
        <w:spacing w:line="360" w:lineRule="auto"/>
        <w:rPr>
          <w:b/>
          <w:bCs/>
          <w:sz w:val="28"/>
          <w:szCs w:val="28"/>
          <w:lang w:eastAsia="en-US"/>
        </w:rPr>
        <w:outlineLvl w:val="1"/>
      </w:pPr>
      <w:r/>
      <w:bookmarkStart w:id="11" w:name="_Toc65500474"/>
      <w:r/>
      <w:bookmarkStart w:id="12" w:name="_Toc65500789"/>
      <w:r/>
      <w:bookmarkStart w:id="13" w:name="_Toc82684827"/>
      <w:r>
        <w:rPr>
          <w:b/>
          <w:bCs/>
          <w:sz w:val="28"/>
          <w:szCs w:val="28"/>
          <w:lang w:eastAsia="en-US"/>
        </w:rPr>
        <w:t xml:space="preserve">1.1. Понятие и сущность качества и доступности государственных услуг</w:t>
      </w:r>
      <w:bookmarkEnd w:id="11"/>
      <w:r/>
      <w:bookmarkEnd w:id="12"/>
      <w:r/>
      <w:bookmarkEnd w:id="13"/>
      <w:r/>
      <w:r>
        <w:rPr>
          <w:b/>
          <w:bCs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Прежде чем охарактеризовать систему государственных услуг, необходимо рассмотреть свойства услуг как продукт человеческой деятельности.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Человек удовлетворяет свои потребности с помощью материальных благ и услуг. Материальные блага – это вещи, предметы, которые вы можете пот</w:t>
      </w:r>
      <w:r>
        <w:rPr>
          <w:rFonts w:eastAsia="Calibri"/>
          <w:sz w:val="28"/>
          <w:szCs w:val="28"/>
          <w:lang w:eastAsia="en-US"/>
        </w:rPr>
        <w:t xml:space="preserve">рогать, держать в руках: жилье, мебель, продукты питания, одежда, обувь, лекарства, телевизор и т. д. В современном обществе подавляющее большинство материальных благ принимает форму продукта, который можно приобрести в магазине, на рынке или где-либо еще.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Другая часть потребностей человека удовлетворяется через услуги, которые не имеют материальной формы. Существует много различий между материалами и услугами, которые перечислены в табл. 1.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/>
      <w:bookmarkStart w:id="14" w:name="_Toc65597845"/>
      <w:r/>
      <w:bookmarkStart w:id="15" w:name="_Toc65944965"/>
      <w:r/>
      <w:bookmarkStart w:id="16" w:name="_Toc65960151"/>
      <w:r/>
      <w:bookmarkStart w:id="17" w:name="_Toc66272485"/>
      <w:r/>
      <w:bookmarkStart w:id="18" w:name="_Toc82684828"/>
      <w:r>
        <w:rPr>
          <w:rFonts w:eastAsia="Calibri"/>
          <w:sz w:val="28"/>
          <w:szCs w:val="28"/>
          <w:lang w:eastAsia="en-US"/>
        </w:rPr>
        <w:t xml:space="preserve">Таблица 1 – Различия между материальным благом и услугой</w:t>
      </w:r>
      <w:bookmarkEnd w:id="14"/>
      <w:r/>
      <w:bookmarkEnd w:id="15"/>
      <w:r/>
      <w:bookmarkEnd w:id="16"/>
      <w:r/>
      <w:bookmarkEnd w:id="17"/>
      <w:r/>
      <w:bookmarkEnd w:id="18"/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</w:r>
    </w:p>
    <w:tbl>
      <w:tblPr>
        <w:tblStyle w:val="838"/>
        <w:tblW w:w="9236" w:type="dxa"/>
        <w:tblInd w:w="115" w:type="dxa"/>
        <w:tblCellMar>
          <w:left w:w="110" w:type="dxa"/>
          <w:top w:w="42" w:type="dxa"/>
          <w:right w:w="115" w:type="dxa"/>
        </w:tblCellMar>
        <w:tblLook w:val="04A0" w:firstRow="1" w:lastRow="0" w:firstColumn="1" w:lastColumn="0" w:noHBand="0" w:noVBand="1"/>
      </w:tblPr>
      <w:tblGrid>
        <w:gridCol w:w="4558"/>
        <w:gridCol w:w="4678"/>
      </w:tblGrid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Материальное благо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ind w:left="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Услуга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28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58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Осязаемое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ind w:left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Неосязаемо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5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58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Существует отдельно от производителя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ind w:left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Не может быть отделима от своего производителя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8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58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Качество измеряется с помощью определенных параметров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ind w:left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Качество услуги может измеряться в зависимости от того: кто оказывает услугу, в каком месте и в какое время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58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Сохраняется в течение определенного времени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ind w:left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Не может быть сохранено в течение длительного времени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8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58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Имеет свойство перемещаться на какое- либо расстояние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8" w:type="dxa"/>
            <w:textDirection w:val="lrTb"/>
            <w:noWrap w:val="false"/>
          </w:tcPr>
          <w:p>
            <w:pPr>
              <w:ind w:left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Не имеет свойства перемещения. Место оказания услуги и место ее потребления совпадает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</w:tbl>
    <w:p>
      <w:pPr>
        <w:ind w:left="929"/>
        <w:spacing w:line="256" w:lineRule="auto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</w:r>
      <w:r>
        <w:rPr>
          <w:color w:val="000000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Несмотря на значительные различия между материальными товарами и услугами, они имеют схожие характеристики. Человеческий труд тратится на </w:t>
      </w:r>
      <w:r>
        <w:rPr>
          <w:rFonts w:eastAsia="Calibri"/>
          <w:sz w:val="28"/>
          <w:szCs w:val="28"/>
          <w:lang w:eastAsia="en-US"/>
        </w:rPr>
        <w:t xml:space="preserve">производство материальных товаров и оказание услуг, которые, в свою очередь, должны оплачиваться [17, с. 57]. 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Повышение эффективности оказания государственных услуг различными органами власти невозможно без разра</w:t>
      </w:r>
      <w:r>
        <w:rPr>
          <w:rFonts w:eastAsia="Calibri"/>
          <w:sz w:val="28"/>
          <w:szCs w:val="28"/>
          <w:lang w:eastAsia="en-US"/>
        </w:rPr>
        <w:t xml:space="preserve">ботки комплексной системы организации предоставления государственных услуг. Для этого необходимо организовать сбор информации о результатах оказания государственных услуг на каждом этапе них реализации, что говорит о необходимости мониторинга [21, с. 27]. </w:t>
      </w:r>
      <w:r>
        <w:rPr>
          <w:rFonts w:eastAsia="Calibri"/>
          <w:sz w:val="28"/>
          <w:szCs w:val="28"/>
          <w:lang w:eastAsia="en-US"/>
        </w:rPr>
      </w:r>
    </w:p>
    <w:p>
      <w:pPr>
        <w:ind w:left="-15" w:right="64"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…</w:t>
      </w:r>
      <w:r>
        <w:rPr>
          <w:rFonts w:eastAsia="Calibri"/>
          <w:sz w:val="28"/>
          <w:szCs w:val="28"/>
          <w:lang w:eastAsia="en-US"/>
        </w:rPr>
      </w:r>
    </w:p>
    <w:p>
      <w:pPr>
        <w:ind w:left="-15" w:right="64"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Для решения этих вопросов в 2010 году была принята новая редакция Федер</w:t>
      </w:r>
      <w:r>
        <w:rPr>
          <w:rFonts w:eastAsia="Calibri"/>
          <w:sz w:val="28"/>
          <w:szCs w:val="28"/>
          <w:lang w:eastAsia="en-US"/>
        </w:rPr>
        <w:t xml:space="preserve">альной целевой программы «Электронная Россия (2002-2010)», в которой систематизированы цели, задачи и меры Российской Федерации по повышению качества и эффективности государственных услуг с использованием информационных и телекоммуникационных технологий.  </w:t>
      </w:r>
      <w:r>
        <w:rPr>
          <w:rFonts w:eastAsia="Calibri"/>
          <w:sz w:val="28"/>
          <w:szCs w:val="28"/>
          <w:lang w:eastAsia="en-US"/>
        </w:rPr>
      </w:r>
    </w:p>
    <w:p>
      <w:pPr>
        <w:ind w:left="10" w:right="198"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Основными целями программы «Электронная Россия» являются:</w:t>
      </w:r>
      <w:r>
        <w:rPr>
          <w:rFonts w:eastAsia="Calibri"/>
          <w:sz w:val="28"/>
          <w:szCs w:val="28"/>
          <w:lang w:eastAsia="en-US"/>
        </w:rPr>
      </w:r>
    </w:p>
    <w:p>
      <w:pPr>
        <w:ind w:left="10" w:right="198"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…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Графически на рис. 1 показана универсальная персональная электронная карта. 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center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42930" cy="2211572"/>
                <wp:effectExtent l="0" t="0" r="15240" b="74930"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242930" cy="2211572"/>
                          <a:chOff x="0" y="0"/>
                          <a:chExt cx="38425" cy="25297"/>
                        </a:xfrm>
                      </wpg:grpSpPr>
                      <wps:wsp>
                        <wps:cNvPr id="0" name=""/>
                        <wps:cNvSpPr>
                          <a:spLocks noChangeArrowheads="1"/>
                        </wps:cNvSpPr>
                        <wps:spPr bwMode="auto">
                          <a:xfrm>
                            <a:off x="37979" y="23323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ind w:firstLine="709"/>
                                <w:spacing w:after="160" w:line="256" w:lineRule="auto"/>
                              </w:pPr>
                              <w: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959"/>
                          <pic:cNvPicPr>
                            <a:picLocks noChangeAspect="1" noChangeArrowheads="1"/>
                          </pic:cNvPicPr>
                          <pic:nvPr/>
                        </pic:nvPicPr>
                        <pic:blipFill>
                          <a:blip r:embed="rId16"/>
                          <a:stretch/>
                        </pic:blipFill>
                        <pic:spPr bwMode="auto">
                          <a:xfrm>
                            <a:off x="50" y="50"/>
                            <a:ext cx="37808" cy="246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" name=""/>
                        <wps:cNvSpPr/>
                        <wps:spPr bwMode="auto">
                          <a:xfrm>
                            <a:off x="0" y="0"/>
                            <a:ext cx="37903" cy="24771"/>
                          </a:xfrm>
                          <a:custGeom>
                            <a:avLst/>
                            <a:gdLst>
                              <a:gd name="T0" fmla="*/ 0 w 3790315"/>
                              <a:gd name="T1" fmla="*/ 2477135 h 2477135"/>
                              <a:gd name="T2" fmla="*/ 3790315 w 3790315"/>
                              <a:gd name="T3" fmla="*/ 2477135 h 2477135"/>
                              <a:gd name="T4" fmla="*/ 3790315 w 3790315"/>
                              <a:gd name="T5" fmla="*/ 0 h 2477135"/>
                              <a:gd name="T6" fmla="*/ 0 w 3790315"/>
                              <a:gd name="T7" fmla="*/ 0 h 2477135"/>
                              <a:gd name="T8" fmla="*/ 0 w 3790315"/>
                              <a:gd name="T9" fmla="*/ 2477135 h 2477135"/>
                              <a:gd name="T10" fmla="*/ 0 w 3790315"/>
                              <a:gd name="T11" fmla="*/ 0 h 2477135"/>
                              <a:gd name="T12" fmla="*/ 3790315 w 3790315"/>
                              <a:gd name="T13" fmla="*/ 2477135 h 2477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790315" h="2477135" fill="norm" stroke="1" extrusionOk="0">
                                <a:moveTo>
                                  <a:pt x="0" y="2477135"/>
                                </a:moveTo>
                                <a:lnTo>
                                  <a:pt x="3790315" y="2477135"/>
                                </a:lnTo>
                                <a:lnTo>
                                  <a:pt x="37903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71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0000" style="width:255.35pt;height:174.14pt;mso-wrap-distance-left:0.00pt;mso-wrap-distance-top:0.00pt;mso-wrap-distance-right:0.00pt;mso-wrap-distance-bottom:0.00pt;" coordorigin="0,0" coordsize="384,252">
                <v:shape id="shape 3" o:spid="_x0000_s3" o:spt="1" type="#_x0000_t1" style="position:absolute;left:379;top:233;width:5;height:26;v-text-anchor:top;visibility:visible;" filled="f" stroked="f">
                  <v:textbox inset="0,0,0,0">
                    <w:txbxContent>
                      <w:p>
                        <w:pPr>
                          <w:ind w:firstLine="709"/>
                          <w:spacing w:after="160" w:line="256" w:lineRule="auto"/>
                        </w:pPr>
                        <w:r>
                          <w:t xml:space="preserve"> </w:t>
                        </w:r>
                        <w:r/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" o:spid="_x0000_s4" type="#_x0000_t75" style="position:absolute;left:0;top:0;width:378;height:246;" stroked="false">
                  <v:path textboxrect="0,0,0,0"/>
                  <v:imagedata r:id="rId16" o:title=""/>
                </v:shape>
                <v:shape id="shape 5" o:spid="_x0000_s5" style="position:absolute;left:0;top:0;width:379;height:247;visibility:visible;" path="m0,100000l100000,100000l100000,0l0,0l0,100000xe" coordsize="100000,100000" filled="f" strokecolor="#000000" strokeweight="0.75pt">
                  <v:path textboxrect="0,0,100000,100000"/>
                </v:shape>
              </v:group>
            </w:pict>
          </mc:Fallback>
        </mc:AlternateContent>
      </w:r>
      <w:bookmarkStart w:id="19" w:name="_Toc65597847"/>
      <w:r/>
      <w:bookmarkStart w:id="20" w:name="_Toc65944967"/>
      <w:r/>
      <w:bookmarkStart w:id="21" w:name="_Toc65960153"/>
      <w:r/>
      <w:bookmarkStart w:id="22" w:name="_Toc66272487"/>
      <w:r/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Рисунок 1 – Универсальная электронная карта</w:t>
      </w:r>
      <w:bookmarkEnd w:id="19"/>
      <w:r/>
      <w:bookmarkEnd w:id="20"/>
      <w:r/>
      <w:bookmarkEnd w:id="21"/>
      <w:r/>
      <w:bookmarkEnd w:id="22"/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Универсальная электронная карта должна содержать уникальную последовательность символов, которая записывается на чипе внутри карты, </w:t>
      </w:r>
      <w:r>
        <w:rPr>
          <w:rFonts w:eastAsia="Calibri"/>
          <w:sz w:val="28"/>
          <w:szCs w:val="28"/>
          <w:lang w:eastAsia="en-US"/>
        </w:rPr>
        <w:t xml:space="preserve">позволяющие пользователю карты беспрепятственно пользова</w:t>
      </w:r>
      <w:r>
        <w:rPr>
          <w:rFonts w:eastAsia="Calibri"/>
          <w:sz w:val="28"/>
          <w:szCs w:val="28"/>
          <w:lang w:eastAsia="en-US"/>
        </w:rPr>
        <w:t xml:space="preserve">ться финансовыми, транспортными, государственными и другими услугами без дополнительной авторизации, в то же время универсальная электронная карта может иметь в своем арсенале не одну, а несколько автономных приложений, в которых она может авторизоваться. 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…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Следует также отметить, что в настоящее время существует единый портал для государственных служб. На рис. 2 показана первая страница портала. </w:t>
      </w:r>
      <w:r>
        <w:rPr>
          <w:rFonts w:eastAsia="Calibri"/>
          <w:sz w:val="28"/>
          <w:szCs w:val="28"/>
          <w:lang w:eastAsia="en-US"/>
        </w:rPr>
      </w:r>
    </w:p>
    <w:p>
      <w:pPr>
        <w:jc w:val="center"/>
        <w:spacing w:line="256" w:lineRule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56521" cy="3290572"/>
                <wp:effectExtent l="0" t="0" r="1905" b="5080"/>
                <wp:docPr id="5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9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659783" cy="329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45.40pt;height:259.10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bookmarkStart w:id="23" w:name="_Toc65597848"/>
      <w:r/>
      <w:bookmarkStart w:id="24" w:name="_Toc65944968"/>
      <w:r/>
      <w:bookmarkStart w:id="25" w:name="_Toc65960154"/>
      <w:r/>
      <w:bookmarkStart w:id="26" w:name="_Toc66272488"/>
      <w:r/>
      <w:r>
        <w:rPr>
          <w:rFonts w:eastAsia="Calibri"/>
          <w:bCs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Рисунок 2 – Главная страница Портала государственных и муниципальных услуг [24]</w:t>
      </w:r>
      <w:bookmarkEnd w:id="23"/>
      <w:r/>
      <w:bookmarkEnd w:id="24"/>
      <w:r/>
      <w:bookmarkEnd w:id="25"/>
      <w:r/>
      <w:bookmarkEnd w:id="26"/>
      <w:r/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Портал государственных услуг на данный момент является основным Интернет-ресурсом, на котором любой желающий может получить доступ к государственным услугам, в том числе и для юридических лиц, начиная от регистрации лица, заканчивая его ликвидацией. 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Портал служит официальным источником информации о процессе предоставления государственных услуг, а также содержит образцы документов. Информация на портале публикуется федеральными и </w:t>
      </w:r>
      <w:r>
        <w:rPr>
          <w:rFonts w:eastAsia="Calibri"/>
          <w:sz w:val="28"/>
          <w:szCs w:val="28"/>
          <w:lang w:eastAsia="en-US"/>
        </w:rPr>
        <w:t xml:space="preserve">региональными органами власти Российской Федерации, что говорит о ее актуальности.  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Недавно были созданы и введены в действие функциональные элементы инфраструктуры электронного управления, которые показаны на рисунке 3 [22, с. 199]. </w:t>
      </w:r>
      <w:r>
        <w:rPr>
          <w:rFonts w:eastAsia="Calibri"/>
          <w:sz w:val="28"/>
          <w:szCs w:val="28"/>
          <w:lang w:eastAsia="en-US"/>
        </w:rPr>
      </w:r>
    </w:p>
    <w:p>
      <w:pPr>
        <w:ind w:right="636"/>
        <w:jc w:val="right"/>
        <w:spacing w:line="25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33975" cy="2667000"/>
                <wp:effectExtent l="0" t="0" r="9525" b="0"/>
                <wp:docPr id="6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5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133975" cy="266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04.25pt;height:210.0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spacing w:line="360" w:lineRule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Рисунок 3 – Элементы электронного правительства </w:t>
      </w:r>
      <w:r>
        <w:rPr>
          <w:rFonts w:eastAsia="Calibri"/>
          <w:bCs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Анализируя рисунок можно увидеть, что существует четыре элемента электронного правительства, которые непосредственно связаны между собой в процессе взаимодействия.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…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Интересный подход к классификации государственных услуг предлагает Е. Р. Александрович (табл. 4).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/>
      <w:bookmarkStart w:id="27" w:name="_Toc65597851"/>
      <w:r/>
      <w:bookmarkStart w:id="28" w:name="_Toc65944971"/>
      <w:r/>
      <w:bookmarkStart w:id="29" w:name="_Toc65960157"/>
      <w:r/>
      <w:bookmarkStart w:id="30" w:name="_Toc66272491"/>
      <w:r/>
      <w:bookmarkStart w:id="31" w:name="_Toc82684831"/>
      <w:r>
        <w:rPr>
          <w:rFonts w:eastAsia="Calibri"/>
          <w:sz w:val="28"/>
          <w:szCs w:val="28"/>
          <w:lang w:eastAsia="en-US"/>
        </w:rPr>
        <w:t xml:space="preserve">Таблица 4 – Классификация государственных услуг</w:t>
      </w:r>
      <w:bookmarkEnd w:id="27"/>
      <w:r/>
      <w:bookmarkEnd w:id="28"/>
      <w:r/>
      <w:bookmarkEnd w:id="29"/>
      <w:r/>
      <w:bookmarkEnd w:id="30"/>
      <w:r/>
      <w:bookmarkEnd w:id="31"/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</w:r>
    </w:p>
    <w:tbl>
      <w:tblPr>
        <w:tblStyle w:val="838"/>
        <w:tblW w:w="9356" w:type="dxa"/>
        <w:tblInd w:w="106" w:type="dxa"/>
        <w:tblCellMar>
          <w:left w:w="106" w:type="dxa"/>
          <w:top w:w="51" w:type="dxa"/>
          <w:right w:w="52" w:type="dxa"/>
        </w:tblCellMar>
        <w:tblLook w:val="04A0" w:firstRow="1" w:lastRow="0" w:firstColumn="1" w:lastColumn="0" w:noHBand="0" w:noVBand="1"/>
      </w:tblPr>
      <w:tblGrid>
        <w:gridCol w:w="4567"/>
        <w:gridCol w:w="4789"/>
      </w:tblGrid>
      <w:tr>
        <w:trPr>
          <w:trHeight w:val="286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67" w:type="dxa"/>
            <w:textDirection w:val="lrTb"/>
            <w:noWrap w:val="false"/>
          </w:tcPr>
          <w:p>
            <w:pPr>
              <w:ind w:right="5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Критерий классификации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9" w:type="dxa"/>
            <w:textDirection w:val="lrTb"/>
            <w:noWrap w:val="false"/>
          </w:tcPr>
          <w:p>
            <w:pPr>
              <w:ind w:right="6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Виды государственных услуг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8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67" w:type="dxa"/>
            <w:textDirection w:val="lrTb"/>
            <w:noWrap w:val="false"/>
          </w:tcPr>
          <w:p>
            <w:pPr>
              <w:ind w:left="108" w:hanging="106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По сфере оказания услуг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9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публичные; 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общественные (социальные); административные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67" w:type="dxa"/>
            <w:textDirection w:val="lrTb"/>
            <w:noWrap w:val="false"/>
          </w:tcPr>
          <w:p>
            <w:pPr>
              <w:ind w:left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По наличию промежуточного результата (сложности)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9" w:type="dxa"/>
            <w:textDirection w:val="lrTb"/>
            <w:noWrap w:val="false"/>
          </w:tcPr>
          <w:p>
            <w:pPr>
              <w:ind w:right="2749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простые; сложные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11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67" w:type="dxa"/>
            <w:textDirection w:val="lrTb"/>
            <w:noWrap w:val="false"/>
          </w:tcPr>
          <w:p>
            <w:pPr>
              <w:ind w:left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По содержанию результата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9" w:type="dxa"/>
            <w:textDirection w:val="lrTb"/>
            <w:noWrap w:val="false"/>
          </w:tcPr>
          <w:p>
            <w:pPr>
              <w:ind w:right="887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информационно-консультационные; коммуникационные; финансовые; документарные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67" w:type="dxa"/>
            <w:textDirection w:val="lrTb"/>
            <w:noWrap w:val="false"/>
          </w:tcPr>
          <w:p>
            <w:pPr>
              <w:ind w:left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По условиям оказания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9" w:type="dxa"/>
            <w:textDirection w:val="lrTb"/>
            <w:noWrap w:val="false"/>
          </w:tcPr>
          <w:p>
            <w:pPr>
              <w:ind w:right="84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программные; нормативно-правовые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5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67" w:type="dxa"/>
            <w:textDirection w:val="lrTb"/>
            <w:noWrap w:val="false"/>
          </w:tcPr>
          <w:p>
            <w:pPr>
              <w:ind w:left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По взаимодействию с ведомствами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89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элементарные; 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композитные (межведомственные)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</w:tbl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 мнению Ю.А. Ти</w:t>
      </w:r>
      <w:r>
        <w:rPr>
          <w:rFonts w:eastAsia="Calibri"/>
          <w:sz w:val="28"/>
          <w:szCs w:val="28"/>
          <w:lang w:eastAsia="en-US"/>
        </w:rPr>
        <w:t xml:space="preserve">хомирова к публичным могут быть отнесены госуслуги, направленные на реализацию потребностей юридических и физических лиц, а административные, связаны с реализацией задач и функций государства адресованы на другие государственные и муниципальные органы [5].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…</w:t>
      </w:r>
      <w:r>
        <w:rPr>
          <w:color w:val="000000"/>
          <w:sz w:val="28"/>
          <w:szCs w:val="28"/>
          <w:lang w:eastAsia="en-US"/>
        </w:rPr>
      </w:r>
    </w:p>
    <w:p>
      <w:pPr>
        <w:ind w:firstLine="709"/>
        <w:jc w:val="center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center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center"/>
        <w:keepLines/>
        <w:keepNext/>
        <w:spacing w:line="360" w:lineRule="auto"/>
        <w:rPr>
          <w:b/>
          <w:bCs/>
          <w:sz w:val="28"/>
          <w:szCs w:val="28"/>
          <w:lang w:eastAsia="en-US"/>
        </w:rPr>
        <w:outlineLvl w:val="1"/>
      </w:pPr>
      <w:r/>
      <w:bookmarkStart w:id="32" w:name="_Toc82684832"/>
      <w:r>
        <w:rPr>
          <w:b/>
          <w:bCs/>
          <w:sz w:val="28"/>
          <w:szCs w:val="28"/>
          <w:lang w:eastAsia="en-US"/>
        </w:rPr>
        <w:t xml:space="preserve">1.2. Особенности предоставления государственных услуг в МФЦ</w:t>
      </w:r>
      <w:bookmarkEnd w:id="32"/>
      <w:r/>
      <w:r>
        <w:rPr>
          <w:b/>
          <w:bCs/>
          <w:sz w:val="28"/>
          <w:szCs w:val="28"/>
          <w:lang w:eastAsia="en-US"/>
        </w:rPr>
      </w:r>
    </w:p>
    <w:p>
      <w:pPr>
        <w:ind w:firstLine="709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Многофункциональный центр по предоставлению государственных и муниципальных услуг — это государственное или му</w:t>
      </w:r>
      <w:r>
        <w:rPr>
          <w:color w:val="000000"/>
          <w:sz w:val="28"/>
          <w:szCs w:val="22"/>
        </w:rPr>
        <w:t xml:space="preserve">ниципальное учреждение, отвечающее требованиям, установленным федеральным законодательством и Правительством Российской Федерации, уполномоченное организовывать предоставление государственных (муниципальных) услуг на основе «единого контактного лица» [4]. 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Относительно работы многофункциональных центров по оказанию государственных и муниципальных услуг было принято Постановление Правительства Российской Федерации от 3 октября 2009 года № 796 [3]. 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Основная идея многофункционального центра заключается в реализации принципа «еди</w:t>
      </w:r>
      <w:r>
        <w:rPr>
          <w:color w:val="000000"/>
          <w:sz w:val="28"/>
          <w:szCs w:val="22"/>
        </w:rPr>
        <w:t xml:space="preserve">ной точки соприкосновения», когда гражданин освобождается от необходимости получить сертификат, обратиться в органы власти или к платежным посредникам. Бенефициар обязан только подать заявку и своевременно получить результат, а все остальные работы должны </w:t>
      </w:r>
      <w:r>
        <w:rPr>
          <w:color w:val="000000"/>
          <w:sz w:val="28"/>
          <w:szCs w:val="22"/>
        </w:rPr>
        <w:t xml:space="preserve">выполняться персоналом многофункционального центра и соответствующими государственными и муниципальными органами. 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…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МФЦ упрощает проц</w:t>
      </w:r>
      <w:r>
        <w:rPr>
          <w:color w:val="000000"/>
          <w:sz w:val="28"/>
          <w:szCs w:val="22"/>
        </w:rPr>
        <w:t xml:space="preserve">есс получения всевозможных сертификатов, жилищных и муниципальных субсидий, социальной помощи, возможность оформления купли-продажи квартиры может быть в одном месте. Действительно, появление МФЦ в различных регионах Российской Федерации значительно упрост</w:t>
      </w:r>
      <w:r>
        <w:rPr>
          <w:color w:val="000000"/>
          <w:sz w:val="28"/>
          <w:szCs w:val="22"/>
        </w:rPr>
        <w:t xml:space="preserve">ило процедуру и сократило время, в течение которого граждане и юридические лица должны получать коллективные государственные услуги. Это организовано по принципу «единой точки контакта», чтобы минимизировать общение между гражданами и должностными лицами. 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495"/>
        <w:jc w:val="center"/>
        <w:keepLines/>
        <w:keepNext/>
        <w:spacing w:line="360" w:lineRule="auto"/>
        <w:rPr>
          <w:b/>
          <w:bCs/>
          <w:sz w:val="28"/>
          <w:szCs w:val="28"/>
          <w:lang w:eastAsia="en-US"/>
        </w:rPr>
        <w:outlineLvl w:val="1"/>
      </w:pPr>
      <w:r/>
      <w:bookmarkStart w:id="33" w:name="_Toc82684833"/>
      <w:r>
        <w:rPr>
          <w:b/>
          <w:bCs/>
          <w:sz w:val="28"/>
          <w:szCs w:val="28"/>
          <w:lang w:eastAsia="en-US"/>
        </w:rPr>
        <w:t xml:space="preserve">1.3. Процесс предоставления государственных услуг</w:t>
      </w:r>
      <w:bookmarkEnd w:id="33"/>
      <w:r/>
      <w:r>
        <w:rPr>
          <w:b/>
          <w:bCs/>
          <w:sz w:val="28"/>
          <w:szCs w:val="28"/>
          <w:lang w:eastAsia="en-US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Процессы предоставления услуг обычно носят межведомственный характер (обмен информацией по линии компетенции - территориальная единица или в треугольнике министерство, агентство, служба или горизонтально между властями разных «кустов»). 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В зависимости от характера артикуляции государственных услуг выделяют следующие процессы их предоставления: </w:t>
      </w:r>
      <w:r>
        <w:rPr>
          <w:color w:val="000000"/>
          <w:sz w:val="28"/>
          <w:szCs w:val="22"/>
        </w:rPr>
      </w:r>
    </w:p>
    <w:p>
      <w:pPr>
        <w:numPr>
          <w:ilvl w:val="0"/>
          <w:numId w:val="28"/>
        </w:numPr>
        <w:ind w:left="0" w:firstLine="709"/>
        <w:jc w:val="both"/>
        <w:spacing w:after="200"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последовательная бюрократия; </w:t>
      </w:r>
      <w:r>
        <w:rPr>
          <w:color w:val="000000"/>
          <w:sz w:val="28"/>
          <w:szCs w:val="22"/>
        </w:rPr>
      </w:r>
    </w:p>
    <w:p>
      <w:pPr>
        <w:numPr>
          <w:ilvl w:val="0"/>
          <w:numId w:val="28"/>
        </w:numPr>
        <w:ind w:left="0" w:firstLine="709"/>
        <w:jc w:val="both"/>
        <w:spacing w:after="200"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параллельная бюрократия; </w:t>
      </w:r>
      <w:r>
        <w:rPr>
          <w:color w:val="000000"/>
          <w:sz w:val="28"/>
          <w:szCs w:val="22"/>
        </w:rPr>
      </w:r>
    </w:p>
    <w:p>
      <w:pPr>
        <w:numPr>
          <w:ilvl w:val="0"/>
          <w:numId w:val="28"/>
        </w:numPr>
        <w:ind w:left="0" w:firstLine="709"/>
        <w:jc w:val="both"/>
        <w:spacing w:after="200"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одно окно 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Графически артикуляция операций процесса предоставления государственных услуг показана на рис. 5. 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…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Сегодня службы, оказывающие государственные и муниципальные услуги, играют важную роль в жизни каждого гражданина, например, при рождении ребенка или получении паспорта, оформлении льгот и т.д. 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По данным Федеральной службы гос</w:t>
      </w:r>
      <w:r>
        <w:rPr>
          <w:color w:val="000000"/>
          <w:sz w:val="28"/>
          <w:szCs w:val="22"/>
        </w:rPr>
        <w:t xml:space="preserve">ударственной статистики, количество предоставляемых государственных услуг увеличивается с каждым годом. В таблице ниже приведены данные по региону с наиболее быстро растущей долей граждан, пользующихся электронными государственными услугами (табл. 5) [6]. 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Таблица 5 – Доля граждан, использующая электронные госуслуги </w:t>
      </w:r>
      <w:r>
        <w:rPr>
          <w:color w:val="000000"/>
          <w:sz w:val="28"/>
          <w:szCs w:val="22"/>
        </w:rPr>
      </w:r>
    </w:p>
    <w:tbl>
      <w:tblPr>
        <w:tblStyle w:val="839"/>
        <w:tblW w:w="9356" w:type="dxa"/>
        <w:tblInd w:w="108" w:type="dxa"/>
        <w:tblCellMar>
          <w:left w:w="108" w:type="dxa"/>
          <w:top w:w="7" w:type="dxa"/>
          <w:right w:w="115" w:type="dxa"/>
        </w:tblCellMar>
        <w:tblLook w:val="04A0" w:firstRow="1" w:lastRow="0" w:firstColumn="1" w:lastColumn="0" w:noHBand="0" w:noVBand="1"/>
      </w:tblPr>
      <w:tblGrid>
        <w:gridCol w:w="3261"/>
        <w:gridCol w:w="1764"/>
        <w:gridCol w:w="2127"/>
        <w:gridCol w:w="2204"/>
      </w:tblGrid>
      <w:tr>
        <w:trPr>
          <w:trHeight w:val="8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ind w:left="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Наименование региона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textDirection w:val="lrTb"/>
            <w:noWrap w:val="false"/>
          </w:tcPr>
          <w:p>
            <w:pPr>
              <w:ind w:left="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ind w:left="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%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ind w:left="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2020 год 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%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Изменения (2019/2020 год) </w:t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%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Чукотский автономный округ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textDirection w:val="lrTb"/>
            <w:noWrap w:val="false"/>
          </w:tcPr>
          <w:p>
            <w:pPr>
              <w:ind w:left="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19.2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19.2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19.2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Республика Дагестан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textDirection w:val="lrTb"/>
            <w:noWrap w:val="false"/>
          </w:tcPr>
          <w:p>
            <w:pPr>
              <w:ind w:left="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38.3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38.3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38.3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Костромская область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textDirection w:val="lrTb"/>
            <w:noWrap w:val="false"/>
          </w:tcPr>
          <w:p>
            <w:pPr>
              <w:ind w:left="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37.0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37.0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37.0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Республика Бурятия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textDirection w:val="lrTb"/>
            <w:noWrap w:val="false"/>
          </w:tcPr>
          <w:p>
            <w:pPr>
              <w:ind w:left="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45.4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45.4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45.4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28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tabs>
                <w:tab w:val="left" w:pos="2445" w:leader="none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Рязанская область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textDirection w:val="lrTb"/>
            <w:noWrap w:val="false"/>
          </w:tcPr>
          <w:p>
            <w:pPr>
              <w:ind w:left="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54.5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54.5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54.5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Томская область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textDirection w:val="lrTb"/>
            <w:noWrap w:val="false"/>
          </w:tcPr>
          <w:p>
            <w:pPr>
              <w:ind w:left="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51.7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51.7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51.7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Республика Карелия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textDirection w:val="lrTb"/>
            <w:noWrap w:val="false"/>
          </w:tcPr>
          <w:p>
            <w:pPr>
              <w:ind w:left="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41.1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41.1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41.1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Курганская область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textDirection w:val="lrTb"/>
            <w:noWrap w:val="false"/>
          </w:tcPr>
          <w:p>
            <w:pPr>
              <w:ind w:left="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43.2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43.2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43.2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Чеченская республика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textDirection w:val="lrTb"/>
            <w:noWrap w:val="false"/>
          </w:tcPr>
          <w:p>
            <w:pPr>
              <w:ind w:left="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54.0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54.0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54.0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2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Орловская область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textDirection w:val="lrTb"/>
            <w:noWrap w:val="false"/>
          </w:tcPr>
          <w:p>
            <w:pPr>
              <w:ind w:left="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43.3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43.3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43.3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28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Самарская область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64" w:type="dxa"/>
            <w:textDirection w:val="lrTb"/>
            <w:noWrap w:val="false"/>
          </w:tcPr>
          <w:p>
            <w:pPr>
              <w:ind w:left="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54.9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54.9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04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54.9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</w:tbl>
    <w:p>
      <w:pPr>
        <w:ind w:left="708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Информатизация и информационные технологии стали неотъемлемой частью нашей жизни. Они являются началом совершенствования всей системы государственного управления. В Российской Федерации с</w:t>
      </w:r>
      <w:r>
        <w:rPr>
          <w:color w:val="000000"/>
          <w:sz w:val="28"/>
          <w:szCs w:val="22"/>
        </w:rPr>
        <w:t xml:space="preserve">уществует система интерактивного электронного взаимодействия, предпринимается комплекс мер по созданию условий, способствующих повышению уровня компьютерной грамотности населения и организации неограниченного доступа граждан к Интернет-ресурсам [7, с. 48].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…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Многие проблемы в системе использования электронных государственных услуг связаны с неким традиционным менталитетом граждан, которые предпочитают личный визит в государственное </w:t>
      </w:r>
      <w:r>
        <w:rPr>
          <w:color w:val="000000"/>
          <w:sz w:val="28"/>
          <w:szCs w:val="22"/>
        </w:rPr>
        <w:t xml:space="preserve">учреждение вместо электронного портала. Здесь проблему можно решить с помощью с</w:t>
      </w:r>
      <w:r>
        <w:rPr>
          <w:color w:val="000000"/>
          <w:sz w:val="28"/>
          <w:szCs w:val="22"/>
        </w:rPr>
        <w:t xml:space="preserve">оциальной рекламы, воспитательной работы, иногда путем насильственного отказа от другого способа получения документов и расширения возможностей получения необходимой информации, разъяснений, дополнительной информации всеми доступными и удобными способами. 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…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Таким образом, развитие системы государственного управления на пути повышения качества государственных услуг на современном этапе развития определяется повсеместными процессами оцифровки и переходом к электронным формам</w:t>
      </w:r>
      <w:r>
        <w:rPr>
          <w:color w:val="000000"/>
          <w:sz w:val="28"/>
          <w:szCs w:val="22"/>
        </w:rPr>
        <w:t xml:space="preserve"> общения между гражданами и юридическими лицами. Реализация основных направлений деятельности Правительства Российской Федерации требует, чтобы уровень удовлетворенности граждан страны качеством государственных услуг составлял 90%, включая обеспечение их д</w:t>
      </w:r>
      <w:r>
        <w:rPr>
          <w:color w:val="000000"/>
          <w:sz w:val="28"/>
          <w:szCs w:val="22"/>
        </w:rPr>
        <w:t xml:space="preserve">оступа к службам приема по «единой точке контакта» через многофункциональные центры. Доступность услуг растет, качество их представительства населения растет. Однако, несмотря на преобладающие положительные тенденции, существуют определенные недостатки, ка</w:t>
      </w:r>
      <w:r>
        <w:rPr>
          <w:color w:val="000000"/>
          <w:sz w:val="28"/>
          <w:szCs w:val="22"/>
        </w:rPr>
        <w:t xml:space="preserve">к технические, так и организационные, которые требуют тщательного внимания и быстрого решения для улучшения взаимодействия граждан страны с правительством, что в конечном итоге окажет положительное влияние на повышение уровня жизни и качества жизни людей. 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709" w:firstLine="709"/>
        <w:jc w:val="center"/>
        <w:keepLines/>
        <w:keepNext/>
        <w:spacing w:line="360" w:lineRule="auto"/>
        <w:rPr>
          <w:b/>
          <w:bCs/>
          <w:sz w:val="28"/>
          <w:lang w:eastAsia="en-US"/>
        </w:rPr>
        <w:outlineLvl w:val="0"/>
      </w:pPr>
      <w:r/>
      <w:bookmarkStart w:id="34" w:name="_Toc82684837"/>
      <w:r>
        <w:rPr>
          <w:b/>
          <w:bCs/>
          <w:sz w:val="28"/>
          <w:lang w:eastAsia="en-US"/>
        </w:rPr>
        <w:t xml:space="preserve">ГЛАВА 2. ИССЛЕДОВАНИЕ КАЧЕСТВА И ДОСТУПНОСТИ ПРЕДОСТАВЛЕНИЯ ГОСУДАРСТВЕННЫХ УСЛУГ В МБУ «МФЦ Г. КОРОЛЁВ»</w:t>
      </w:r>
      <w:bookmarkEnd w:id="34"/>
      <w:r/>
      <w:r>
        <w:rPr>
          <w:b/>
          <w:bCs/>
          <w:sz w:val="28"/>
          <w:lang w:eastAsia="en-US"/>
        </w:rPr>
      </w:r>
    </w:p>
    <w:p>
      <w:pPr>
        <w:spacing w:after="200" w:line="276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ind w:firstLine="709"/>
        <w:jc w:val="center"/>
        <w:keepLines/>
        <w:keepNext/>
        <w:spacing w:line="360" w:lineRule="auto"/>
        <w:rPr>
          <w:b/>
          <w:bCs/>
          <w:sz w:val="28"/>
          <w:szCs w:val="28"/>
          <w:lang w:eastAsia="en-US"/>
        </w:rPr>
        <w:outlineLvl w:val="1"/>
      </w:pPr>
      <w:r/>
      <w:bookmarkStart w:id="35" w:name="_Toc82684838"/>
      <w:r>
        <w:rPr>
          <w:b/>
          <w:bCs/>
          <w:sz w:val="28"/>
          <w:szCs w:val="28"/>
          <w:lang w:eastAsia="en-US"/>
        </w:rPr>
        <w:t xml:space="preserve">2.1. Организационно-управленческая характеристика МБУ «МФЦ г</w:t>
      </w:r>
      <w:r>
        <w:rPr>
          <w:b/>
          <w:bCs/>
          <w:sz w:val="28"/>
          <w:szCs w:val="28"/>
          <w:lang w:eastAsia="en-US"/>
        </w:rPr>
        <w:t xml:space="preserve">орода</w:t>
      </w:r>
      <w:r>
        <w:rPr>
          <w:b/>
          <w:bCs/>
          <w:sz w:val="28"/>
          <w:szCs w:val="28"/>
          <w:lang w:eastAsia="en-US"/>
        </w:rPr>
        <w:t xml:space="preserve"> Королёв</w:t>
      </w:r>
      <w:r>
        <w:rPr>
          <w:b/>
          <w:bCs/>
          <w:sz w:val="28"/>
          <w:szCs w:val="28"/>
          <w:lang w:eastAsia="en-US"/>
        </w:rPr>
        <w:t xml:space="preserve">а</w:t>
      </w:r>
      <w:r>
        <w:rPr>
          <w:b/>
          <w:bCs/>
          <w:sz w:val="28"/>
          <w:szCs w:val="28"/>
          <w:lang w:eastAsia="en-US"/>
        </w:rPr>
        <w:t xml:space="preserve">»</w:t>
      </w:r>
      <w:bookmarkEnd w:id="35"/>
      <w:r/>
      <w:r>
        <w:rPr>
          <w:b/>
          <w:bCs/>
          <w:sz w:val="28"/>
          <w:szCs w:val="28"/>
          <w:lang w:eastAsia="en-US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В целях реализации федерального закона «Об организации оказания государственных </w:t>
      </w:r>
      <w:r>
        <w:rPr>
          <w:color w:val="000000"/>
          <w:sz w:val="28"/>
          <w:szCs w:val="22"/>
        </w:rPr>
        <w:t xml:space="preserve">и муниципальных услуг» в соответствии с постановлением Администрации города Королёв от 1 апреля 2013 года объявлено о создании муниципального бюджетного учреждения «Многофункциональный центр государственных и муниципальных услуг» (МБУ МФЦ Города Королева) 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Королевское бюджетное учреждение Московской области "Многофункциональный центр по оказанию государственных и муниципальных услуг" является некоммерческой организацией. 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tabs>
          <w:tab w:val="center" w:pos="1524" w:leader="none"/>
          <w:tab w:val="center" w:pos="3508" w:leader="none"/>
          <w:tab w:val="center" w:pos="4725" w:leader="none"/>
          <w:tab w:val="center" w:pos="5396" w:leader="none"/>
          <w:tab w:val="center" w:pos="6414" w:leader="none"/>
          <w:tab w:val="center" w:pos="7489" w:leader="none"/>
          <w:tab w:val="right" w:pos="9432" w:leader="none"/>
        </w:tabs>
        <w:rPr>
          <w:color w:val="000000"/>
          <w:sz w:val="28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ab/>
      </w:r>
      <w:r>
        <w:rPr>
          <w:color w:val="000000"/>
          <w:sz w:val="28"/>
          <w:szCs w:val="22"/>
        </w:rPr>
        <w:t xml:space="preserve">Сокращенное наименование - МБУ </w:t>
      </w:r>
      <w:r>
        <w:rPr>
          <w:color w:val="000000"/>
          <w:sz w:val="28"/>
          <w:szCs w:val="22"/>
        </w:rPr>
        <w:tab/>
        <w:t xml:space="preserve">«МФЦ Города Королева». 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В своей деятельности МБУ «МФЦ г. Королёва» руковод</w:t>
      </w:r>
      <w:r>
        <w:rPr>
          <w:color w:val="000000"/>
          <w:sz w:val="28"/>
          <w:szCs w:val="22"/>
        </w:rPr>
        <w:t xml:space="preserve">ствуется Конституцией Российской Федерации, Федеральным законом «Об организации государственных и муниципальных услуг», другими законами Российской Федерации, Московской области, нормативными актами местного самоуправления г. Королева и Уставом учреждений.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…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Управление МБУ «МФЦ города Королева» осуществляется в соответствии с действующим законодательством Российской Федерации на основе принципов единоначалия в соответствии с его Уставом. 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Организационно - управленческая структура МБУ «МФЦ г. Королев» показана на рис. 8. </w:t>
      </w:r>
      <w:r>
        <w:rPr>
          <w:color w:val="000000"/>
          <w:sz w:val="28"/>
          <w:szCs w:val="22"/>
        </w:rPr>
      </w:r>
    </w:p>
    <w:p>
      <w:pPr>
        <w:ind w:left="708"/>
        <w:spacing w:line="256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 </w:t>
      </w:r>
      <w:r>
        <w:rPr>
          <w:color w:val="000000"/>
          <w:sz w:val="28"/>
          <w:szCs w:val="22"/>
        </w:rPr>
      </w:r>
    </w:p>
    <w:p>
      <w:pPr>
        <w:jc w:val="right"/>
        <w:spacing w:line="256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135086"/>
                <wp:effectExtent l="0" t="0" r="0" b="8255"/>
                <wp:docPr id="7" name="Picture 31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4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46906" cy="313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68.00pt;height:246.86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>
        <w:rPr>
          <w:color w:val="000000"/>
          <w:sz w:val="28"/>
          <w:szCs w:val="22"/>
        </w:rPr>
        <w:t xml:space="preserve"> 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after="200" w:line="360" w:lineRule="auto"/>
        <w:rPr>
          <w:rFonts w:eastAsia="Calibri"/>
          <w:sz w:val="28"/>
          <w:szCs w:val="28"/>
        </w:rPr>
      </w:pPr>
      <w:r/>
      <w:bookmarkStart w:id="36" w:name="_Toc65597860"/>
      <w:r/>
      <w:bookmarkStart w:id="37" w:name="_Toc65944979"/>
      <w:r/>
      <w:bookmarkStart w:id="38" w:name="_Toc65960165"/>
      <w:r/>
      <w:bookmarkStart w:id="39" w:name="_Toc66272500"/>
      <w:r>
        <w:rPr>
          <w:rFonts w:eastAsia="Calibri"/>
          <w:sz w:val="28"/>
          <w:szCs w:val="28"/>
        </w:rPr>
        <w:t xml:space="preserve">Рисунок 8 – Организационно - управленческая структура МБУ «МФЦ города Королева»</w:t>
      </w:r>
      <w:bookmarkEnd w:id="36"/>
      <w:r/>
      <w:bookmarkEnd w:id="37"/>
      <w:r/>
      <w:bookmarkEnd w:id="38"/>
      <w:r/>
      <w:bookmarkEnd w:id="39"/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</w:r>
    </w:p>
    <w:p>
      <w:pPr>
        <w:ind w:firstLine="709"/>
        <w:jc w:val="both"/>
        <w:spacing w:after="200"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…</w:t>
      </w:r>
      <w:r>
        <w:rPr>
          <w:rFonts w:eastAsia="Calibri"/>
          <w:sz w:val="28"/>
          <w:szCs w:val="28"/>
        </w:rPr>
      </w:r>
    </w:p>
    <w:p>
      <w:pPr>
        <w:ind w:firstLine="709"/>
        <w:jc w:val="center"/>
        <w:keepLines/>
        <w:keepNext/>
        <w:spacing w:line="360" w:lineRule="auto"/>
        <w:rPr>
          <w:b/>
          <w:bCs/>
          <w:sz w:val="28"/>
          <w:szCs w:val="28"/>
          <w:lang w:eastAsia="en-US"/>
        </w:rPr>
        <w:outlineLvl w:val="1"/>
      </w:pPr>
      <w:r/>
      <w:bookmarkStart w:id="40" w:name="_Toc82684839"/>
      <w:r>
        <w:rPr>
          <w:b/>
          <w:bCs/>
          <w:sz w:val="28"/>
          <w:szCs w:val="28"/>
          <w:lang w:eastAsia="en-US"/>
        </w:rPr>
        <w:t xml:space="preserve">2.2. Анализ качества и доступности предоставления государственных услуг МБУ </w:t>
      </w:r>
      <w:r>
        <w:rPr>
          <w:b/>
          <w:bCs/>
          <w:color w:val="000000"/>
          <w:sz w:val="28"/>
          <w:szCs w:val="26"/>
        </w:rPr>
        <w:t xml:space="preserve">«МФЦ города Королева</w:t>
      </w:r>
      <w:bookmarkEnd w:id="40"/>
      <w:r>
        <w:rPr>
          <w:b/>
          <w:bCs/>
          <w:color w:val="000000"/>
          <w:sz w:val="28"/>
          <w:szCs w:val="26"/>
        </w:rPr>
        <w:t xml:space="preserve">»</w:t>
      </w:r>
      <w:r>
        <w:rPr>
          <w:b/>
          <w:bCs/>
          <w:sz w:val="28"/>
          <w:szCs w:val="28"/>
          <w:lang w:eastAsia="en-US"/>
        </w:rPr>
      </w:r>
    </w:p>
    <w:p>
      <w:pPr>
        <w:spacing w:line="276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ind w:left="-15" w:right="271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Перед тем как проводить анализ качества предоставления государственных услуг нужно отметить доступность их предоставления. В городе Королев присутствуют 5 отделений МФЦ, которые можно увидеть на рис. 9. </w:t>
      </w:r>
      <w:r>
        <w:rPr>
          <w:color w:val="000000"/>
          <w:sz w:val="28"/>
          <w:szCs w:val="22"/>
        </w:rPr>
      </w:r>
    </w:p>
    <w:p>
      <w:pPr>
        <w:ind w:left="-15" w:right="271" w:firstLine="709"/>
        <w:jc w:val="center"/>
        <w:spacing w:line="360" w:lineRule="auto"/>
        <w:rPr>
          <w:color w:val="000000"/>
          <w:sz w:val="28"/>
          <w:szCs w:val="22"/>
        </w:rPr>
      </w:pPr>
      <w:r>
        <w:rPr>
          <w:rFonts w:ascii="Calibri" w:hAnsi="Calibri" w:eastAsia="Calibri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55203" cy="2553195"/>
                <wp:effectExtent l="0" t="0" r="0" b="0"/>
                <wp:docPr id="8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rcRect l="35629" t="29936" r="13448" b="8507"/>
                        <a:stretch/>
                      </pic:blipFill>
                      <pic:spPr bwMode="auto">
                        <a:xfrm>
                          <a:off x="0" y="0"/>
                          <a:ext cx="5085138" cy="256831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98.05pt;height:201.04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</w:rPr>
      </w:pPr>
      <w:r/>
      <w:bookmarkStart w:id="41" w:name="_Toc65597867"/>
      <w:r/>
      <w:bookmarkStart w:id="42" w:name="_Toc65944981"/>
      <w:r/>
      <w:bookmarkStart w:id="43" w:name="_Toc65960167"/>
      <w:r/>
      <w:bookmarkStart w:id="44" w:name="_Toc66272502"/>
      <w:r>
        <w:rPr>
          <w:rFonts w:eastAsia="Calibri"/>
          <w:sz w:val="28"/>
          <w:szCs w:val="28"/>
        </w:rPr>
        <w:t xml:space="preserve">Рисунок 9 – Месторасположение филиалов МБУ «МФЦ г. Королёва»</w:t>
      </w:r>
      <w:bookmarkEnd w:id="41"/>
      <w:r/>
      <w:bookmarkEnd w:id="42"/>
      <w:r/>
      <w:bookmarkEnd w:id="43"/>
      <w:r/>
      <w:bookmarkEnd w:id="44"/>
      <w:r/>
      <w:r>
        <w:rPr>
          <w:rFonts w:eastAsia="Calibri"/>
          <w:sz w:val="28"/>
          <w:szCs w:val="28"/>
        </w:rPr>
      </w:r>
    </w:p>
    <w:p>
      <w:pPr>
        <w:ind w:firstLine="709"/>
        <w:jc w:val="both"/>
        <w:spacing w:line="360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Сегодня довольно сложно представить свою жизнь без такого важного органа, как МФЦ. Это место решает все общие вопросы и процедуры, которые могут возникнуть и которые необходимы для человека. Ад</w:t>
      </w:r>
      <w:r>
        <w:rPr>
          <w:color w:val="000000"/>
          <w:sz w:val="28"/>
          <w:szCs w:val="22"/>
        </w:rPr>
        <w:t xml:space="preserve">министрация города Королев позаботилась об этом и создала, создает и будет создавать все более благоприятные условия для взаимодействия и доступности этих учреждений для граждан. В настоящее время ведется работа пяти филиалов МФЦ в различных частях города.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Численность учреждений актуальна к марту 2021 года, и можно четко указать, что число многофункциональных центров увеличилось и эта тенденция сохранится. </w:t>
      </w:r>
      <w:r>
        <w:rPr>
          <w:color w:val="000000"/>
          <w:sz w:val="28"/>
          <w:szCs w:val="22"/>
        </w:rPr>
      </w:r>
    </w:p>
    <w:p>
      <w:pPr>
        <w:ind w:left="-15" w:right="271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МБУ «МФЦ городского округа Королева» открыл свои филиалы в разных частях города, чтобы все желающие могли попасть в учреждение. Каждый филиал расположен рядом с автобусными остановками, что еще больше улучшает условия получения услуг населением. 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Все филиалы учреждения работают по единому расписанию, за исключением одного: на улице Тарасовская д. 9 можно получить услугу с 9:00 до 18:00. Остальные же МФЦ работают по следующему графику (табл. 8). 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/>
      <w:bookmarkStart w:id="45" w:name="_Toc65597868"/>
      <w:r/>
      <w:bookmarkStart w:id="46" w:name="_Toc65944982"/>
      <w:r/>
      <w:bookmarkStart w:id="47" w:name="_Toc65960168"/>
      <w:r/>
      <w:bookmarkStart w:id="48" w:name="_Toc66272503"/>
      <w:r/>
      <w:bookmarkStart w:id="49" w:name="_Toc82684840"/>
      <w:r>
        <w:rPr>
          <w:color w:val="000000"/>
          <w:sz w:val="28"/>
          <w:szCs w:val="22"/>
        </w:rPr>
        <w:t xml:space="preserve">Таблица 8 – Расписание работы МБУ «МФЦ города Королёва»</w:t>
      </w:r>
      <w:bookmarkEnd w:id="45"/>
      <w:r/>
      <w:bookmarkEnd w:id="46"/>
      <w:r/>
      <w:bookmarkEnd w:id="47"/>
      <w:r/>
      <w:bookmarkEnd w:id="48"/>
      <w:r/>
      <w:bookmarkEnd w:id="49"/>
      <w:r>
        <w:rPr>
          <w:color w:val="000000"/>
          <w:sz w:val="28"/>
          <w:szCs w:val="22"/>
        </w:rPr>
        <w:t xml:space="preserve"> </w:t>
      </w:r>
      <w:r>
        <w:rPr>
          <w:color w:val="000000"/>
          <w:sz w:val="28"/>
          <w:szCs w:val="22"/>
        </w:rPr>
      </w:r>
    </w:p>
    <w:tbl>
      <w:tblPr>
        <w:tblStyle w:val="842"/>
        <w:tblW w:w="9356" w:type="dxa"/>
        <w:tblInd w:w="11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15"/>
        <w:gridCol w:w="4541"/>
      </w:tblGrid>
      <w:tr>
        <w:trPr>
          <w:trHeight w:val="331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ind w:left="3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День недели </w:t>
            </w:r>
            <w:r>
              <w:rPr>
                <w:rFonts w:ascii="Times New Roman" w:hAnsi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ind w:left="10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Время </w:t>
            </w:r>
            <w:r>
              <w:rPr>
                <w:rFonts w:ascii="Times New Roman" w:hAnsi="Times New Roman"/>
                <w:bCs/>
                <w:color w:val="000000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ind w:left="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Понедельник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ind w:left="1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08:00-20:00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3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Вторник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ind w:left="1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08:00-20:00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ind w:left="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Среда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ind w:left="1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08:00-20:00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Четверг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ind w:left="1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08:00-20:00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Пятница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ind w:left="1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08:00-20:00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ind w:left="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Суббота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ind w:left="1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08:00-20:00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5" w:type="dxa"/>
            <w:textDirection w:val="lrTb"/>
            <w:noWrap w:val="false"/>
          </w:tcPr>
          <w:p>
            <w:pPr>
              <w:ind w:left="6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Воскресенье </w:t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41" w:type="dxa"/>
            <w:textDirection w:val="lrTb"/>
            <w:noWrap w:val="false"/>
          </w:tcPr>
          <w:p>
            <w:pPr>
              <w:ind w:left="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Выходной </w:t>
            </w:r>
            <w:r>
              <w:rPr>
                <w:rFonts w:ascii="Times New Roman" w:hAnsi="Times New Roman"/>
                <w:color w:val="000000"/>
              </w:rPr>
            </w:r>
          </w:p>
        </w:tc>
      </w:tr>
    </w:tbl>
    <w:p>
      <w:pPr>
        <w:ind w:left="708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73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МБУ «МФЦ города Королева» открыт с понедельника по субботу с 8:00 до 20:00 без обеда. Это говорит о том, что руководство смогло </w:t>
      </w:r>
      <w:r>
        <w:rPr>
          <w:color w:val="000000"/>
          <w:sz w:val="28"/>
          <w:szCs w:val="22"/>
        </w:rPr>
        <w:t xml:space="preserve">организовать работу учреждения таким образом, чтобы все население могло приходить и получать необходимые государственные услуги в любое удобное время. </w:t>
      </w:r>
      <w:r>
        <w:rPr>
          <w:color w:val="000000"/>
          <w:sz w:val="28"/>
          <w:szCs w:val="22"/>
        </w:rPr>
      </w:r>
    </w:p>
    <w:p>
      <w:pPr>
        <w:ind w:left="-15" w:right="273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Основой анализа качества предоставления государственных услуг населению послужил филиал МБУ «Город МФЦ Королев», расположенный по адресу: город Королев, проспект Космонавтов, 20А.</w:t>
      </w:r>
      <w:r>
        <w:rPr>
          <w:color w:val="000000"/>
          <w:sz w:val="28"/>
          <w:szCs w:val="22"/>
        </w:rPr>
      </w:r>
    </w:p>
    <w:p>
      <w:pPr>
        <w:ind w:left="-15" w:right="266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В приложении </w:t>
      </w:r>
      <w:r>
        <w:rPr>
          <w:color w:val="000000"/>
          <w:sz w:val="28"/>
          <w:szCs w:val="22"/>
        </w:rPr>
        <w:t xml:space="preserve">1</w:t>
      </w:r>
      <w:r>
        <w:rPr>
          <w:color w:val="000000"/>
          <w:sz w:val="28"/>
          <w:szCs w:val="22"/>
        </w:rPr>
        <w:t xml:space="preserve"> представлена методика оценки качества работы многофункционального центра в Московской области на основании опроса. Приложение </w:t>
      </w:r>
      <w:r>
        <w:rPr>
          <w:color w:val="000000"/>
          <w:sz w:val="28"/>
          <w:szCs w:val="22"/>
        </w:rPr>
        <w:t xml:space="preserve">2</w:t>
      </w:r>
      <w:r>
        <w:rPr>
          <w:color w:val="000000"/>
          <w:sz w:val="28"/>
          <w:szCs w:val="22"/>
        </w:rPr>
        <w:t xml:space="preserve"> – краткий анализ существующей обстановки. Согласно этой методолог</w:t>
      </w:r>
      <w:r>
        <w:rPr>
          <w:color w:val="000000"/>
          <w:sz w:val="28"/>
          <w:szCs w:val="22"/>
        </w:rPr>
        <w:t xml:space="preserve">ии, разработанной комиссией для повышения качества и доступности государственных услуг и организации межведомственного сотрудничества в Московской области, мы анализируем работу МБУ «МФЦ городского округа Королев», расположенного на проспекте Космонавтов. </w:t>
      </w:r>
      <w:r>
        <w:rPr>
          <w:color w:val="000000"/>
          <w:sz w:val="28"/>
          <w:szCs w:val="22"/>
        </w:rPr>
      </w:r>
    </w:p>
    <w:p>
      <w:pPr>
        <w:ind w:left="-15" w:right="266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В таблице 9 перечислены критерии оценки работы многофункционального центра.</w:t>
      </w:r>
      <w:r>
        <w:rPr>
          <w:color w:val="000000"/>
          <w:sz w:val="28"/>
          <w:szCs w:val="22"/>
        </w:rPr>
      </w:r>
    </w:p>
    <w:p>
      <w:pPr>
        <w:ind w:left="-15" w:right="266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…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Количественный анализ оказания филиала МБУ «МФЦ города Королёва» представлен в табл. 10.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….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Количество доступных сервисов увеличилось на 1</w:t>
      </w:r>
      <w:r>
        <w:rPr>
          <w:color w:val="000000"/>
          <w:sz w:val="28"/>
          <w:szCs w:val="22"/>
        </w:rPr>
        <w:t xml:space="preserve">2%, но время приема посетителей от оператора увеличилось на 5 минут или 20%. По сравнению с началом работы МБУ «МФЦ Королев» показатели, связанные с предоставлением услуг, значительно возросли. Таким образом, количество устных консультаций увеличилось на 1</w:t>
      </w:r>
      <w:r>
        <w:rPr>
          <w:color w:val="000000"/>
          <w:sz w:val="28"/>
          <w:szCs w:val="22"/>
        </w:rPr>
        <w:t xml:space="preserve">31,9%, а количество поданных заявок - на 76,7%. Рост важнейших показателей эффективности МБУ «МФЦ Королев» связан с тем, что в анализируемый период МБУ «МФЦ Королев» начал активно развиваться как самостоятельная структура, открыв еще два филиала в городе. </w:t>
      </w:r>
      <w:r>
        <w:rPr>
          <w:color w:val="000000"/>
          <w:sz w:val="28"/>
          <w:szCs w:val="22"/>
        </w:rPr>
      </w:r>
    </w:p>
    <w:p>
      <w:pPr>
        <w:ind w:right="267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Качество оказания госу</w:t>
      </w:r>
      <w:r>
        <w:rPr>
          <w:color w:val="000000"/>
          <w:sz w:val="28"/>
          <w:szCs w:val="22"/>
        </w:rPr>
        <w:t xml:space="preserve">дарственных и муниципальных услуг населению во многом зависит от персонала, потому что именно они, а не машина, работают напрямую с заявителями. По этой причине важно проанализировать процесс работы с сотрудниками, а также условия, в которых они работают. </w:t>
      </w:r>
      <w:r>
        <w:rPr>
          <w:color w:val="000000"/>
          <w:sz w:val="28"/>
          <w:szCs w:val="22"/>
        </w:rPr>
      </w:r>
    </w:p>
    <w:p>
      <w:pPr>
        <w:ind w:right="267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…</w:t>
      </w:r>
      <w:r>
        <w:rPr>
          <w:color w:val="000000"/>
          <w:sz w:val="28"/>
          <w:szCs w:val="22"/>
        </w:rPr>
      </w:r>
    </w:p>
    <w:p>
      <w:pPr>
        <w:ind w:right="267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Как мы видим, основные проблемы, связанные с обеспечением качества и доступности публичных услуг связаны с …</w:t>
      </w:r>
      <w:r>
        <w:rPr>
          <w:color w:val="000000"/>
          <w:sz w:val="28"/>
          <w:szCs w:val="22"/>
        </w:rPr>
      </w:r>
    </w:p>
    <w:p>
      <w:pPr>
        <w:ind w:right="267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Таким образом, основные направления решения выявленных проблем должны находится в плоскости …</w:t>
      </w:r>
      <w:r>
        <w:rPr>
          <w:color w:val="000000"/>
          <w:sz w:val="28"/>
          <w:szCs w:val="22"/>
        </w:rPr>
      </w:r>
    </w:p>
    <w:p>
      <w:pPr>
        <w:ind w:right="267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spacing w:line="276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spacing w:line="276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spacing w:line="276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spacing w:line="276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spacing w:line="276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spacing w:line="276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spacing w:line="276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spacing w:line="276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spacing w:line="276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spacing w:after="200" w:line="276" w:lineRule="auto"/>
        <w:rPr>
          <w:b/>
          <w:bCs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br w:type="page" w:clear="all"/>
      </w:r>
      <w:r>
        <w:rPr>
          <w:b/>
          <w:bCs/>
          <w:sz w:val="28"/>
          <w:szCs w:val="28"/>
          <w:lang w:eastAsia="en-US"/>
        </w:rPr>
      </w:r>
    </w:p>
    <w:p>
      <w:pPr>
        <w:jc w:val="center"/>
        <w:keepLines/>
        <w:keepNext/>
        <w:spacing w:line="276" w:lineRule="auto"/>
        <w:rPr>
          <w:b/>
          <w:bCs/>
          <w:sz w:val="28"/>
          <w:szCs w:val="28"/>
          <w:lang w:eastAsia="en-US"/>
        </w:rPr>
        <w:outlineLvl w:val="0"/>
      </w:pPr>
      <w:r/>
      <w:bookmarkStart w:id="50" w:name="_Toc82684843"/>
      <w:r>
        <w:rPr>
          <w:b/>
          <w:bCs/>
          <w:sz w:val="28"/>
          <w:szCs w:val="28"/>
          <w:lang w:eastAsia="en-US"/>
        </w:rPr>
        <w:t xml:space="preserve">ЗАКЛЮЧЕНИЕ</w:t>
      </w:r>
      <w:bookmarkEnd w:id="50"/>
      <w:r/>
      <w:r>
        <w:rPr>
          <w:b/>
          <w:bCs/>
          <w:sz w:val="28"/>
          <w:szCs w:val="28"/>
          <w:lang w:eastAsia="en-US"/>
        </w:rPr>
      </w:r>
    </w:p>
    <w:p>
      <w:pPr>
        <w:ind w:left="-15" w:right="268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8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8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В настоящее время Россия активно развивает сферу оказания публичных услуг. И, несмотря на ее качественный рост, до сих пор присутствуют трудности в сфере оказания публичных услуг населению, что обусловило выбор темы исследования представленной работы. </w:t>
      </w:r>
      <w:r>
        <w:rPr>
          <w:color w:val="000000"/>
          <w:sz w:val="28"/>
          <w:szCs w:val="22"/>
        </w:rPr>
      </w:r>
    </w:p>
    <w:p>
      <w:pPr>
        <w:ind w:left="-15" w:right="2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В данной работе были изучены теоретические основы предоставления публичных услуг населению. Для нормативно - правового регулиров</w:t>
      </w:r>
      <w:r>
        <w:rPr>
          <w:color w:val="000000"/>
          <w:sz w:val="28"/>
          <w:szCs w:val="22"/>
        </w:rPr>
        <w:t xml:space="preserve">ания отношений, возникающих в связи с предоставлением государственных и муниципальных услуг, вступил в силу Федеральный закон от 27.07.2010 No210-ФЗ «Об организации предоставления государственных и муниципальных услуг» согласно которому было определено пон</w:t>
      </w:r>
      <w:r>
        <w:rPr>
          <w:color w:val="000000"/>
          <w:sz w:val="28"/>
          <w:szCs w:val="22"/>
        </w:rPr>
        <w:t xml:space="preserve">ятие «многофункциональный центр». Данная форма предполагает, что заявитель общается не с государственным служащим, а с сотрудником офиса, который принимает документы и при необходимости оказывает консультационные услуги по получению государственных услуг. </w:t>
      </w:r>
      <w:r>
        <w:rPr>
          <w:color w:val="000000"/>
          <w:sz w:val="28"/>
          <w:szCs w:val="22"/>
        </w:rPr>
      </w:r>
    </w:p>
    <w:p>
      <w:pPr>
        <w:ind w:left="-15" w:right="64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В целом МБУ «МФЦ города Королёва» организовало на основании существующих регламентов отлаженную работу специалистов с заявителями, благодаря которой можно уверенно говорить о хорошем уровне качества их оказания. </w:t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На данный момент данное учреждение оказывает уже порядка 391 услуги, к каждой из которых существуют свои требования по оказанию и предоставлению той или иной услуги. </w:t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Количество оказываемых услуг населению с каждым годом увеличивалось, м</w:t>
      </w:r>
      <w:r>
        <w:rPr>
          <w:color w:val="000000"/>
          <w:sz w:val="28"/>
          <w:szCs w:val="22"/>
        </w:rPr>
        <w:t xml:space="preserve">инуя негативные последствия в разрезе качества их предоставления, что не может говорить о плохой системе организации труда. Однако все эти факторы напрямую указывают на повышенную нагрузку персонала, что в итоге, ведет к некоторым негативным последствиям. </w:t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МБУ «МФЦ города Королёва» из года в год совершенствует методы и способы по повышению качества предоставления услуг, однако, несмотря на все эти усилия, существует ряд проблем, которые, в прямом смысле, «затормаживают» этот процесс. </w:t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Несмотря на большое количество регламентов, которые в свою очередь должны четко описывать суть услуги, способы и возможности ее предоставления, их исполнение ложится на плечи специалистов, которые работают с на</w:t>
      </w:r>
      <w:r>
        <w:rPr>
          <w:color w:val="000000"/>
          <w:sz w:val="28"/>
          <w:szCs w:val="22"/>
        </w:rPr>
        <w:t xml:space="preserve">селением, и, в итоге, весь этот огромный объем информации концентрируется на сотрудниках «одного окна», что приводит к их моральному истощению или профессиональному выгоранию, что, несомненно, препятствует развитию улучшения качества предоставления услуг. </w:t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ind w:left="-15" w:right="265"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</w:r>
      <w:r>
        <w:rPr>
          <w:color w:val="000000"/>
          <w:sz w:val="28"/>
          <w:szCs w:val="22"/>
        </w:rPr>
      </w:r>
    </w:p>
    <w:p>
      <w:pPr>
        <w:jc w:val="center"/>
        <w:keepLines/>
        <w:keepNext/>
        <w:spacing w:line="276" w:lineRule="auto"/>
        <w:rPr>
          <w:b/>
          <w:bCs/>
          <w:sz w:val="28"/>
          <w:szCs w:val="28"/>
          <w:lang w:eastAsia="en-US"/>
        </w:rPr>
        <w:outlineLvl w:val="0"/>
      </w:pPr>
      <w:r/>
      <w:bookmarkStart w:id="51" w:name="_Toc82684844"/>
      <w:r>
        <w:rPr>
          <w:b/>
          <w:bCs/>
          <w:sz w:val="28"/>
          <w:szCs w:val="28"/>
          <w:lang w:eastAsia="en-US"/>
        </w:rPr>
        <w:t xml:space="preserve">СПИСОК ИСПОЛЬЗОВАННЫХ ИСТОЧНИКОВ</w:t>
      </w:r>
      <w:bookmarkEnd w:id="51"/>
      <w:r/>
      <w:r>
        <w:rPr>
          <w:b/>
          <w:bCs/>
          <w:sz w:val="28"/>
          <w:szCs w:val="28"/>
          <w:lang w:eastAsia="en-US"/>
        </w:rPr>
      </w:r>
    </w:p>
    <w:p>
      <w:pPr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Гражданский кодекс Российской Федерации (принят Государственной Думой 30 ноября 1994 года № 51-ФЗ) [Электронный ресурс]. Режим доступа:</w:t>
      </w:r>
      <w:hyperlink r:id="rId21" w:tooltip="http://www.consultant.ru/document/cons_doc_law_5142/" w:history="1">
        <w:r>
          <w:rPr>
            <w:color w:val="000000"/>
            <w:sz w:val="28"/>
            <w:szCs w:val="28"/>
          </w:rPr>
          <w:t xml:space="preserve"> </w:t>
        </w:r>
      </w:hyperlink>
      <w:r/>
      <w:hyperlink r:id="rId22" w:tooltip="http://www.consultant.ru/document/cons_doc_law_5142/" w:history="1">
        <w:r>
          <w:rPr>
            <w:color w:val="000000"/>
            <w:sz w:val="28"/>
            <w:szCs w:val="28"/>
          </w:rPr>
          <w:t xml:space="preserve">http://www.consultant.ru/document/cons_doc_law_5142/</w:t>
        </w:r>
      </w:hyperlink>
      <w:r/>
      <w:hyperlink r:id="rId23" w:tooltip="http://www.consultant.ru/document/cons_doc_law_5142/" w:history="1">
        <w:r>
          <w:rPr>
            <w:color w:val="000000"/>
            <w:sz w:val="28"/>
            <w:szCs w:val="28"/>
          </w:rPr>
          <w:t xml:space="preserve"> </w:t>
        </w:r>
      </w:hyperlink>
      <w:r>
        <w:rPr>
          <w:color w:val="000000"/>
          <w:sz w:val="28"/>
          <w:szCs w:val="28"/>
        </w:rPr>
        <w:t xml:space="preserve">(дата обращения 11.03.2021).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Федеральный закон № 210-ФЗ «Об организации предоставления государственных и муниципальных услуг» [Электронный ресурс]. Режим доступа: </w:t>
      </w:r>
      <w:hyperlink r:id="rId24" w:tooltip="http://www.consultant.ru/document/cons_doc_LAW_103023/" w:history="1">
        <w:r>
          <w:rPr>
            <w:sz w:val="28"/>
            <w:szCs w:val="28"/>
          </w:rPr>
          <w:t xml:space="preserve">http://www.consultant.ru/document/cons_doc_LAW_103023/</w:t>
        </w:r>
      </w:hyperlink>
      <w:r>
        <w:rPr>
          <w:sz w:val="28"/>
          <w:szCs w:val="28"/>
        </w:rPr>
        <w:t xml:space="preserve"> (дата обращения 11.03.2021).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 Правительства РФ от 03.10.2009 N 796 "О некоторых мерах по повышению качества предоставления государственных (муниципальных) услу</w:t>
      </w:r>
      <w:r>
        <w:rPr>
          <w:color w:val="000000"/>
          <w:sz w:val="28"/>
          <w:szCs w:val="28"/>
        </w:rPr>
        <w:t xml:space="preserve">г на базе многофункциональных центров предоставления государственных (муниципальных) услуг" (вместе с "Правилами организации деятельности многофункциональных центров предоставления государственных (муниципальных) услуг") [Электронный ресурс]. Режим доступа</w:t>
      </w:r>
      <w:r>
        <w:rPr>
          <w:rFonts w:eastAsia="Calibri"/>
          <w:sz w:val="28"/>
          <w:szCs w:val="28"/>
          <w:lang w:eastAsia="en-US"/>
        </w:rPr>
        <w:t xml:space="preserve"> </w:t>
      </w:r>
      <w:hyperlink r:id="rId25" w:tooltip="https://base.garant.ru/196392/" w:history="1">
        <w:r>
          <w:rPr>
            <w:sz w:val="28"/>
            <w:szCs w:val="28"/>
          </w:rPr>
          <w:t xml:space="preserve">https://base.garant.ru/196392/</w:t>
        </w:r>
      </w:hyperlink>
      <w:r>
        <w:rPr>
          <w:sz w:val="28"/>
          <w:szCs w:val="28"/>
        </w:rPr>
        <w:t xml:space="preserve"> (дата обращения 12.03.2021).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 Правительства РФ от 22.12.2012 № 1376 «Об утверждении Правил организации деятельности многофункциональных центров предоставления государственных и муниципальных услуг» (с изменениями на 24 ноября 2020 года) [Электронный </w:t>
      </w:r>
      <w:r>
        <w:rPr>
          <w:color w:val="000000"/>
          <w:sz w:val="28"/>
          <w:szCs w:val="28"/>
        </w:rPr>
        <w:tab/>
        <w:t xml:space="preserve">ресурс]. Режим доступа:</w:t>
      </w:r>
      <w:hyperlink r:id="rId26" w:tooltip="http://base.consultant.ru/cons/cgi/online.cgi?req=doc%3Bbase%3DLAW%3Bn%3D187315" w:history="1">
        <w:r>
          <w:rPr>
            <w:color w:val="000000"/>
            <w:sz w:val="28"/>
            <w:szCs w:val="28"/>
          </w:rPr>
          <w:t xml:space="preserve"> </w:t>
        </w:r>
      </w:hyperlink>
      <w:r>
        <w:rPr>
          <w:rFonts w:eastAsia="Calibri"/>
          <w:sz w:val="28"/>
          <w:szCs w:val="28"/>
          <w:lang w:eastAsia="en-US"/>
        </w:rPr>
        <w:t xml:space="preserve"> </w:t>
      </w:r>
      <w:hyperlink r:id="rId27" w:tooltip="https://base.garant.ru/70290064/" w:history="1">
        <w:r>
          <w:rPr>
            <w:sz w:val="28"/>
            <w:szCs w:val="28"/>
          </w:rPr>
          <w:t xml:space="preserve">https://base.garant.ru/70290064/</w:t>
        </w:r>
      </w:hyperlink>
      <w:r>
        <w:rPr>
          <w:sz w:val="28"/>
          <w:szCs w:val="28"/>
        </w:rPr>
        <w:t xml:space="preserve"> (дата обращения 11.03.2021).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Распоряжение Правительства РФ от 10.06.2015 </w:t>
      </w:r>
      <w:r>
        <w:rPr>
          <w:color w:val="000000"/>
          <w:sz w:val="28"/>
          <w:szCs w:val="28"/>
        </w:rPr>
        <w:t xml:space="preserve">№ 1021-р (ред. от 28.08.2016) «Об утверждении Концепции снижения административных барьеров и повышения доступности государственных и муниципальных услуг на 2015 - 2017 годы и Плана мероприятий по реализации указанной </w:t>
      </w:r>
      <w:r>
        <w:rPr>
          <w:color w:val="000000"/>
          <w:sz w:val="28"/>
          <w:szCs w:val="28"/>
        </w:rPr>
        <w:t xml:space="preserve">Концепции» [Электронный ресурс]. Режим доступа:</w:t>
      </w:r>
      <w:hyperlink r:id="rId28" w:tooltip="http://www.economy.gov.ru/" w:history="1">
        <w:r>
          <w:rPr>
            <w:color w:val="000000"/>
            <w:sz w:val="28"/>
            <w:szCs w:val="28"/>
          </w:rPr>
          <w:t xml:space="preserve"> </w:t>
        </w:r>
      </w:hyperlink>
      <w:r/>
      <w:hyperlink r:id="rId29" w:tooltip="http://www.economy.gov.ru/" w:history="1">
        <w:r>
          <w:rPr>
            <w:color w:val="000000"/>
            <w:sz w:val="28"/>
            <w:szCs w:val="28"/>
          </w:rPr>
          <w:t xml:space="preserve">www.economy.gov.ru</w:t>
        </w:r>
      </w:hyperlink>
      <w:r/>
      <w:hyperlink r:id="rId30" w:tooltip="http://www.economy.gov.ru/" w:history="1">
        <w:r>
          <w:rPr>
            <w:color w:val="000000"/>
            <w:sz w:val="28"/>
            <w:szCs w:val="28"/>
          </w:rPr>
          <w:t xml:space="preserve"> </w:t>
        </w:r>
      </w:hyperlink>
      <w:r>
        <w:rPr>
          <w:color w:val="000000"/>
          <w:sz w:val="28"/>
          <w:szCs w:val="28"/>
        </w:rPr>
        <w:t xml:space="preserve">(дата обращения 13.03.2021).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Распоряжение Правительства Российской Федерации от 17 декабря 2009 г. № 1993-р подготовлен «Сводный перечень первоочередных государственных и муниципальных услуг» [Электронный ресурс]. Режим доступа: </w:t>
      </w:r>
      <w:hyperlink r:id="rId31" w:tooltip="https://base.garant.ru/12171809/" w:history="1">
        <w:r>
          <w:rPr>
            <w:sz w:val="28"/>
            <w:szCs w:val="28"/>
          </w:rPr>
          <w:t xml:space="preserve">https://base.garant.ru/12171809/</w:t>
        </w:r>
      </w:hyperlink>
      <w:r>
        <w:rPr>
          <w:sz w:val="28"/>
          <w:szCs w:val="28"/>
        </w:rPr>
        <w:t xml:space="preserve"> (дата обращения 15.03.2021).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Распоряжение Правительства РФ от 25.10.2005 N 1789-р (ред. от 10.03.2009) «О Концепции административной реформы в Российской Федерации в 2006 - 2010 годах» [Электронный ресурс]. Режим доступа:</w:t>
      </w:r>
      <w:hyperlink r:id="rId32" w:tooltip="http://www.consultant.ru/document/cons_doc_LAW_56259/" w:history="1">
        <w:r>
          <w:rPr>
            <w:color w:val="000000"/>
            <w:sz w:val="28"/>
            <w:szCs w:val="28"/>
          </w:rPr>
          <w:t xml:space="preserve"> </w:t>
        </w:r>
      </w:hyperlink>
      <w:r/>
      <w:hyperlink r:id="rId33" w:tooltip="http://www.consultant.ru/document/cons_doc_LAW_56259/" w:history="1">
        <w:r>
          <w:rPr>
            <w:color w:val="000000"/>
            <w:sz w:val="28"/>
            <w:szCs w:val="28"/>
          </w:rPr>
          <w:t xml:space="preserve">http://www.consultant.ru/document/cons_doc_LAW_56259/</w:t>
        </w:r>
      </w:hyperlink>
      <w:r/>
      <w:hyperlink r:id="rId34" w:tooltip="http://www.consultant.ru/document/cons_doc_LAW_56259/" w:history="1">
        <w:r>
          <w:rPr>
            <w:color w:val="000000"/>
            <w:sz w:val="28"/>
            <w:szCs w:val="28"/>
          </w:rPr>
          <w:t xml:space="preserve"> </w:t>
        </w:r>
      </w:hyperlink>
      <w:r>
        <w:rPr>
          <w:color w:val="000000"/>
          <w:sz w:val="28"/>
          <w:szCs w:val="28"/>
        </w:rPr>
        <w:t xml:space="preserve">(дата обращения 11.03.2021).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Распоряжение Правительства Российской федерации от 17 июля 2006 г. № 1024-р «О Концепции региональной информатизации до 2010 года». [Электронный ресурс]. Режим доступа:</w:t>
      </w:r>
      <w:hyperlink r:id="rId35" w:tooltip="http://pravo.gov.ru/proxy/ips/?docbody&amp;nd=102108071&amp;rdk&amp;backlink=1" w:history="1">
        <w:r>
          <w:rPr>
            <w:color w:val="000000"/>
            <w:sz w:val="28"/>
            <w:szCs w:val="28"/>
          </w:rPr>
          <w:t xml:space="preserve"> </w:t>
        </w:r>
      </w:hyperlink>
      <w:r/>
      <w:hyperlink r:id="rId36" w:tooltip="http://pravo.gov.ru/proxy/ips/?docbody&amp;nd=102108071&amp;rdk&amp;backlink=1" w:history="1">
        <w:r>
          <w:rPr>
            <w:color w:val="000000"/>
            <w:sz w:val="28"/>
            <w:szCs w:val="28"/>
          </w:rPr>
          <w:t xml:space="preserve">http://pravo.gov.ru/proxy/ips/?docbody=&amp;nd=102108071&amp;rdk=&amp;backlink=1</w:t>
        </w:r>
      </w:hyperlink>
      <w:r/>
      <w:hyperlink r:id="rId37" w:tooltip="http://pravo.gov.ru/proxy/ips/?docbody&amp;nd=102108071&amp;rdk&amp;backlink=1" w:history="1">
        <w:r>
          <w:rPr>
            <w:color w:val="000000"/>
            <w:sz w:val="28"/>
            <w:szCs w:val="28"/>
          </w:rPr>
          <w:t xml:space="preserve"> </w:t>
        </w:r>
      </w:hyperlink>
      <w:r>
        <w:rPr>
          <w:color w:val="000000"/>
          <w:sz w:val="28"/>
          <w:szCs w:val="28"/>
        </w:rPr>
        <w:t xml:space="preserve">(дата обращения 11.03.2021).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Распоряжение Правительства Российской Федерации от 6 мая 2008 г. № 632-р «О Концепции формирования в Российской Федерации электронного правительства до 2010 г.». [Электронный ресурс]. Режим доступа:</w:t>
      </w:r>
      <w:hyperlink r:id="rId38" w:tooltip="http://www.consultant.ru/document/cons_doc_LAW_76942/" w:history="1">
        <w:r>
          <w:rPr>
            <w:color w:val="000000"/>
            <w:sz w:val="28"/>
            <w:szCs w:val="28"/>
          </w:rPr>
          <w:t xml:space="preserve"> </w:t>
        </w:r>
      </w:hyperlink>
      <w:r/>
      <w:hyperlink r:id="rId39" w:tooltip="http://www.consultant.ru/document/cons_doc_LAW_76942/" w:history="1">
        <w:r>
          <w:rPr>
            <w:color w:val="000000"/>
            <w:sz w:val="28"/>
            <w:szCs w:val="28"/>
          </w:rPr>
          <w:t xml:space="preserve">http://www.consultant.ru/document/cons_doc_LAW_76942/</w:t>
        </w:r>
      </w:hyperlink>
      <w:r/>
      <w:hyperlink r:id="rId40" w:tooltip="http://www.consultant.ru/document/cons_doc_LAW_76942/" w:history="1">
        <w:r>
          <w:rPr>
            <w:color w:val="000000"/>
            <w:sz w:val="28"/>
            <w:szCs w:val="28"/>
          </w:rPr>
          <w:t xml:space="preserve"> </w:t>
        </w:r>
      </w:hyperlink>
      <w:r>
        <w:rPr>
          <w:color w:val="000000"/>
          <w:sz w:val="28"/>
          <w:szCs w:val="28"/>
        </w:rPr>
        <w:t xml:space="preserve">(дата обращения 18.03.2021).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Указ Президента РФ от 23.06.2003 № 824 «О мерах проведения административной реформы 2003-2004 г.» [Электронный ресурс]. Режим доступа: </w:t>
      </w:r>
      <w:hyperlink r:id="rId41" w:tooltip="http://www.consultant.ru/law/chronomap/2003/7/" w:history="1">
        <w:r>
          <w:rPr>
            <w:color w:val="000000"/>
            <w:sz w:val="28"/>
            <w:szCs w:val="28"/>
          </w:rPr>
          <w:t xml:space="preserve">http://www.consultant.ru/law/chronomap/2003/7/</w:t>
        </w:r>
      </w:hyperlink>
      <w:r/>
      <w:hyperlink r:id="rId42" w:tooltip="http://www.consultant.ru/law/chronomap/2003/7/" w:history="1">
        <w:r>
          <w:rPr>
            <w:color w:val="000000"/>
            <w:sz w:val="28"/>
            <w:szCs w:val="28"/>
          </w:rPr>
          <w:t xml:space="preserve"> </w:t>
        </w:r>
      </w:hyperlink>
      <w:r>
        <w:rPr>
          <w:color w:val="000000"/>
          <w:sz w:val="28"/>
          <w:szCs w:val="28"/>
        </w:rPr>
        <w:t xml:space="preserve">(дата обращения 15.03.2021).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Стратегия развития информационного общества, утвержденная Президентом Российской Федерации 7 февраля 2008 г. № Пр-212. [Электронный ресурс]. Режим доступа:</w:t>
      </w:r>
      <w:hyperlink r:id="rId43" w:tooltip="http://economy.gov.ru/minec/activity/sections/infOrientedSoc/doc20080207_01" w:history="1">
        <w:r>
          <w:rPr>
            <w:color w:val="000000"/>
            <w:sz w:val="28"/>
            <w:szCs w:val="28"/>
          </w:rPr>
          <w:t xml:space="preserve"> </w:t>
        </w:r>
      </w:hyperlink>
      <w:r/>
      <w:hyperlink r:id="rId44" w:tooltip="http://economy.gov.ru/minec/activity/sections/infOrientedSoc/doc20080207_01" w:history="1">
        <w:r>
          <w:rPr>
            <w:color w:val="000000"/>
            <w:sz w:val="28"/>
            <w:szCs w:val="28"/>
          </w:rPr>
          <w:t xml:space="preserve">http://economy.gov.ru/minec/activity/sections/infOrientedSoc/doc20080207_01</w:t>
        </w:r>
      </w:hyperlink>
      <w:r/>
      <w:hyperlink r:id="rId45" w:tooltip="http://economy.gov.ru/minec/activity/sections/infOrientedSoc/doc20080207_01" w:history="1">
        <w:r>
          <w:rPr>
            <w:color w:val="000000"/>
            <w:sz w:val="28"/>
            <w:szCs w:val="28"/>
          </w:rPr>
          <w:t xml:space="preserve"> </w:t>
        </w:r>
      </w:hyperlink>
      <w:r>
        <w:rPr>
          <w:color w:val="000000"/>
          <w:sz w:val="28"/>
          <w:szCs w:val="28"/>
        </w:rPr>
        <w:t xml:space="preserve">(дата обращения 18.03.2021).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Паспорт федеральной целевой программы «Электронная Россия» [Электронный </w:t>
      </w:r>
      <w:r>
        <w:rPr>
          <w:color w:val="000000"/>
          <w:sz w:val="28"/>
          <w:szCs w:val="28"/>
        </w:rPr>
        <w:tab/>
        <w:t xml:space="preserve">ресурс]. Режим доступа: </w:t>
      </w:r>
      <w:hyperlink r:id="rId46" w:tooltip="http://minsvyaz.ru/ru/activity/programs/6/" w:history="1">
        <w:r>
          <w:rPr>
            <w:color w:val="000000"/>
            <w:sz w:val="28"/>
            <w:szCs w:val="28"/>
          </w:rPr>
          <w:t xml:space="preserve">http://minsvyaz.ru/ru/activity/programs/6/</w:t>
        </w:r>
      </w:hyperlink>
      <w:r/>
      <w:hyperlink r:id="rId47" w:tooltip="http://minsvyaz.ru/ru/activity/programs/6/" w:history="1">
        <w:r>
          <w:rPr>
            <w:color w:val="000000"/>
            <w:sz w:val="28"/>
            <w:szCs w:val="28"/>
          </w:rPr>
          <w:t xml:space="preserve"> </w:t>
        </w:r>
      </w:hyperlink>
      <w:r>
        <w:rPr>
          <w:color w:val="000000"/>
          <w:sz w:val="28"/>
          <w:szCs w:val="28"/>
        </w:rPr>
        <w:t xml:space="preserve">(дата обращения 15.03.2021)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Паспорт государственной программы «Информационное общество» (2015–2020 годы) [Электронный ресурс]. Режим доступа:</w:t>
      </w:r>
      <w:hyperlink r:id="rId48" w:tooltip="http://minsvyaz.ru/ru/activity/programs/1/" w:history="1">
        <w:r>
          <w:rPr>
            <w:color w:val="000000"/>
            <w:sz w:val="28"/>
            <w:szCs w:val="28"/>
          </w:rPr>
          <w:t xml:space="preserve"> </w:t>
        </w:r>
      </w:hyperlink>
      <w:r/>
      <w:hyperlink r:id="rId49" w:tooltip="http://minsvyaz.ru/ru/activity/programs/1/" w:history="1">
        <w:r>
          <w:rPr>
            <w:color w:val="000000"/>
            <w:sz w:val="28"/>
            <w:szCs w:val="28"/>
          </w:rPr>
          <w:t xml:space="preserve">http://minsvyaz.ru/ru/activity/programs/1/</w:t>
        </w:r>
      </w:hyperlink>
      <w:r/>
      <w:hyperlink r:id="rId50" w:tooltip="http://minsvyaz.ru/ru/activity/programs/1/" w:history="1">
        <w:r>
          <w:rPr>
            <w:color w:val="000000"/>
            <w:sz w:val="28"/>
            <w:szCs w:val="28"/>
          </w:rPr>
          <w:t xml:space="preserve"> </w:t>
        </w:r>
      </w:hyperlink>
      <w:r>
        <w:rPr>
          <w:color w:val="000000"/>
          <w:sz w:val="28"/>
          <w:szCs w:val="28"/>
        </w:rPr>
        <w:t xml:space="preserve">(дата обращения 15.03.2021).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 администрации города Королёва от 01.04.2017 № 548 «О создании муниципального бюджетного учреждения города Королёва Московской области «Многофункциональный центр предоставления государственных и муниципальных услуг».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Устав Муниципального бюджетного учреждения города Королёва Московской области «Многофункциональный центр предоставления государственных и муниципальных услуг».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Бледнова Е.М. Многофункциональные центры оказания государственных услуг в структуре гарантий реализации права на информацию // Конституционное и муниципальное право. – 2017. – № 6., С. 50-53. 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Глигич-Золотарева М.В. Новое в области оказания госу</w:t>
      </w:r>
      <w:r>
        <w:rPr>
          <w:color w:val="000000"/>
          <w:sz w:val="28"/>
          <w:szCs w:val="28"/>
        </w:rPr>
        <w:t xml:space="preserve">дарственных услуг (о проекте Федерального закона «Об общих принципах организации предоставления государственных (муниципальных) услуг и исполнения государственных (муниципальных) функций») // Конституционное и муниципальное право. – 2017. – № 7, С. 55-62. 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Мальцев И. МФЦ: новые возможности и новые сложности // ЭЖ- Юрист. – 2018. – № 40, С. 21-27. 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Сарафанов В.И. Информатизация системы государственного управления России: Монография / РАН. ИНИОН; Отв. ред. А.М. Кулькин. – М., 2016. – 118 с. </w:t>
      </w:r>
      <w:r>
        <w:rPr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Чаннов С.Е. Отдельные проблемы правового регулирования предоставления государственных и муниципальных услуг в многофункциональных центрах // Право и экономика. – 2015. – № 7, С. 33-38. 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Червяковский А.В. Проблемы законодательного обеспечения доступа к информации о деятельности органов государственной власти // Информационное право. – 2017. – № 1, С. 25-29. 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Яковлева Н.А., Калинин А.М. Создание многофункциональных центров предоставления государственных и муниципальных услуг в России: результаты мониторинга // Вопросы государственного и муниципального управления. – 2019. – № 2, С. 197-222. 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Официальный сайт правовой информации [Электронный ресурс]. Режим доступа:</w:t>
      </w:r>
      <w:hyperlink r:id="rId51" w:tooltip="http://www.uecard.ru/for-citizens/" w:history="1">
        <w:r>
          <w:rPr>
            <w:color w:val="000000"/>
            <w:sz w:val="28"/>
            <w:szCs w:val="28"/>
          </w:rPr>
          <w:t xml:space="preserve"> </w:t>
        </w:r>
      </w:hyperlink>
      <w:r>
        <w:rPr>
          <w:rFonts w:eastAsia="Calibri"/>
          <w:sz w:val="28"/>
          <w:szCs w:val="28"/>
          <w:lang w:eastAsia="en-US"/>
        </w:rPr>
        <w:t xml:space="preserve">https://www.garant.ru/article/487980/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Официальный портал государственных и муниципальных услуг [Электронный ресурс]. Режим доступа:</w:t>
      </w:r>
      <w:hyperlink r:id="rId52" w:tooltip="https://beta.gosuslugi.ru/" w:history="1">
        <w:r>
          <w:rPr>
            <w:color w:val="000000"/>
            <w:sz w:val="28"/>
            <w:szCs w:val="28"/>
          </w:rPr>
          <w:t xml:space="preserve"> </w:t>
        </w:r>
      </w:hyperlink>
      <w:r/>
      <w:hyperlink r:id="rId53" w:tooltip="https://www.gosuslugi.ru/" w:history="1">
        <w:r>
          <w:rPr>
            <w:rFonts w:eastAsia="Calibri"/>
            <w:color w:val="0000ff"/>
            <w:sz w:val="28"/>
            <w:szCs w:val="28"/>
            <w:u w:val="single"/>
            <w:lang w:eastAsia="en-US"/>
          </w:rPr>
          <w:t xml:space="preserve">https://www.gosuslugi.ru/</w:t>
        </w:r>
      </w:hyperlink>
      <w:r>
        <w:rPr>
          <w:rFonts w:eastAsia="Calibri"/>
          <w:sz w:val="28"/>
          <w:szCs w:val="28"/>
          <w:lang w:eastAsia="en-US"/>
        </w:rPr>
        <w:t xml:space="preserve"> (дата обращения 13.03.2021).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Официальный сайт МБУ «МФЦ города Королёва»: </w:t>
      </w:r>
      <w:hyperlink r:id="rId54" w:tooltip="http://mfc-korolev.ru/" w:history="1">
        <w:r>
          <w:rPr>
            <w:color w:val="000000"/>
            <w:sz w:val="28"/>
            <w:szCs w:val="28"/>
          </w:rPr>
          <w:t xml:space="preserve">http://mfc</w:t>
        </w:r>
      </w:hyperlink>
      <w:r/>
      <w:hyperlink r:id="rId55" w:tooltip="http://mfc-korolev.ru/" w:history="1">
        <w:r>
          <w:rPr>
            <w:color w:val="000000"/>
            <w:sz w:val="28"/>
            <w:szCs w:val="28"/>
          </w:rPr>
          <w:t xml:space="preserve">- </w:t>
        </w:r>
      </w:hyperlink>
      <w:r/>
      <w:hyperlink r:id="rId56" w:tooltip="http://mfc-korolev.ru/" w:history="1">
        <w:r>
          <w:rPr>
            <w:color w:val="000000"/>
            <w:sz w:val="28"/>
            <w:szCs w:val="28"/>
          </w:rPr>
          <w:t xml:space="preserve">korolev.ru/</w:t>
        </w:r>
      </w:hyperlink>
      <w:r/>
      <w:hyperlink r:id="rId57" w:tooltip="http://mfc-korolev.ru/" w:history="1">
        <w:r>
          <w:rPr>
            <w:color w:val="000000"/>
            <w:sz w:val="28"/>
            <w:szCs w:val="28"/>
          </w:rPr>
          <w:t xml:space="preserve"> </w:t>
        </w:r>
      </w:hyperlink>
      <w:r/>
      <w:r>
        <w:rPr>
          <w:color w:val="000000"/>
          <w:sz w:val="28"/>
          <w:szCs w:val="28"/>
        </w:rPr>
      </w:r>
    </w:p>
    <w:p>
      <w:pPr>
        <w:numPr>
          <w:ilvl w:val="0"/>
          <w:numId w:val="48"/>
        </w:numPr>
        <w:contextualSpacing/>
        <w:ind w:left="0"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Официальный сайт Администрации города Королёва:</w:t>
      </w:r>
      <w:hyperlink r:id="rId58" w:tooltip="http://www.korolev.ru/" w:history="1">
        <w:r>
          <w:rPr>
            <w:color w:val="000000"/>
            <w:sz w:val="28"/>
            <w:szCs w:val="28"/>
          </w:rPr>
          <w:t xml:space="preserve"> </w:t>
        </w:r>
      </w:hyperlink>
      <w:r/>
      <w:hyperlink r:id="rId59" w:tooltip="http://www.korolev.ru/" w:history="1">
        <w:r>
          <w:rPr>
            <w:color w:val="000000"/>
            <w:sz w:val="28"/>
            <w:szCs w:val="28"/>
          </w:rPr>
          <w:t xml:space="preserve">http://www.korolev.ru/</w:t>
        </w:r>
      </w:hyperlink>
      <w:r/>
      <w:hyperlink r:id="rId60" w:tooltip="http://www.korolev.ru/" w:history="1">
        <w:r>
          <w:rPr>
            <w:color w:val="000000"/>
            <w:sz w:val="28"/>
            <w:szCs w:val="28"/>
          </w:rPr>
          <w:t xml:space="preserve"> </w:t>
        </w:r>
      </w:hyperlink>
      <w:r/>
      <w:r>
        <w:rPr>
          <w:color w:val="000000"/>
          <w:sz w:val="28"/>
          <w:szCs w:val="28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ascii="Calibri" w:hAnsi="Calibri" w:eastAsia="Calibri"/>
          <w:sz w:val="22"/>
          <w:szCs w:val="22"/>
          <w:lang w:eastAsia="en-US"/>
        </w:rPr>
      </w:r>
      <w:r>
        <w:rPr>
          <w:rFonts w:ascii="Calibri" w:hAnsi="Calibri" w:eastAsia="Calibri"/>
          <w:sz w:val="22"/>
          <w:szCs w:val="22"/>
          <w:lang w:eastAsia="en-US"/>
        </w:rPr>
      </w:r>
    </w:p>
    <w:p>
      <w:pPr>
        <w:contextualSpacing/>
        <w:ind w:firstLine="709"/>
        <w:spacing w:line="360" w:lineRule="auto"/>
        <w:rPr>
          <w:b/>
          <w:bCs/>
          <w:sz w:val="32"/>
          <w:szCs w:val="32"/>
        </w:rPr>
      </w:pPr>
      <w:r>
        <w:rPr>
          <w:sz w:val="32"/>
          <w:szCs w:val="32"/>
        </w:rPr>
        <w:br w:type="page" w:clear="all"/>
      </w:r>
      <w:r>
        <w:rPr>
          <w:b/>
          <w:bCs/>
          <w:sz w:val="32"/>
          <w:szCs w:val="32"/>
        </w:rPr>
      </w:r>
    </w:p>
    <w:p>
      <w:pPr>
        <w:jc w:val="center"/>
        <w:spacing w:line="360" w:lineRule="auto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ПРИЛОЖЕНИЯ</w:t>
      </w:r>
      <w:r>
        <w:rPr>
          <w:b/>
          <w:bCs/>
          <w:sz w:val="28"/>
          <w:szCs w:val="28"/>
        </w:rPr>
      </w:r>
    </w:p>
    <w:p>
      <w:pPr>
        <w:ind w:left="448" w:right="141" w:hanging="10"/>
        <w:jc w:val="right"/>
        <w:spacing w:line="25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Приложение </w:t>
      </w:r>
      <w:r>
        <w:rPr>
          <w:b/>
          <w:color w:val="000000"/>
          <w:sz w:val="28"/>
          <w:szCs w:val="28"/>
        </w:rPr>
        <w:t xml:space="preserve">1</w:t>
      </w:r>
      <w:r>
        <w:rPr>
          <w:b/>
          <w:color w:val="000000"/>
          <w:sz w:val="28"/>
          <w:szCs w:val="28"/>
        </w:rPr>
      </w:r>
    </w:p>
    <w:p>
      <w:pPr>
        <w:ind w:firstLine="709"/>
        <w:jc w:val="center"/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firstLine="709"/>
        <w:jc w:val="center"/>
        <w:spacing w:line="36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Результаты социологического опроса </w:t>
      </w:r>
      <w:r>
        <w:rPr>
          <w:color w:val="000000"/>
          <w:sz w:val="28"/>
          <w:szCs w:val="28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результатам проведения анкетного опроса, были собраны данные, представленные ниже. Опрос прошли 214 человек. </w:t>
      </w:r>
      <w:r>
        <w:rPr>
          <w:color w:val="000000"/>
          <w:sz w:val="28"/>
          <w:szCs w:val="28"/>
        </w:rPr>
      </w:r>
    </w:p>
    <w:p>
      <w:pPr>
        <w:numPr>
          <w:ilvl w:val="0"/>
          <w:numId w:val="44"/>
        </w:numPr>
        <w:ind w:left="0" w:firstLine="709"/>
        <w:jc w:val="both"/>
        <w:spacing w:after="200" w:line="360" w:lineRule="auto"/>
        <w:rPr>
          <w:color w:val="000000"/>
          <w:sz w:val="28"/>
          <w:szCs w:val="22"/>
        </w:rPr>
      </w:pPr>
      <w:r>
        <w:rPr>
          <w:b/>
          <w:color w:val="000000"/>
          <w:sz w:val="28"/>
          <w:szCs w:val="22"/>
        </w:rPr>
        <w:t xml:space="preserve">Укажите Ваш пол: </w:t>
      </w:r>
      <w:r>
        <w:rPr>
          <w:color w:val="000000"/>
          <w:sz w:val="28"/>
          <w:szCs w:val="22"/>
        </w:rPr>
      </w:r>
    </w:p>
    <w:p>
      <w:pPr>
        <w:ind w:left="1860"/>
        <w:spacing w:line="256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29075" cy="2333625"/>
                <wp:effectExtent l="0" t="0" r="9525" b="9525"/>
                <wp:docPr id="9" name="Picture 84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49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4029075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317.25pt;height:183.75pt;mso-wrap-distance-left:0.00pt;mso-wrap-distance-top:0.00pt;mso-wrap-distance-right:0.00pt;mso-wrap-distance-bottom:0.00pt;" stroked="f">
                <v:path textboxrect="0,0,0,0"/>
                <v:imagedata r:id="rId61" o:title=""/>
              </v:shape>
            </w:pict>
          </mc:Fallback>
        </mc:AlternateContent>
      </w:r>
      <w:r>
        <w:rPr>
          <w:color w:val="000000"/>
          <w:sz w:val="28"/>
          <w:szCs w:val="22"/>
        </w:rPr>
        <w:t xml:space="preserve"> </w:t>
      </w:r>
      <w:r>
        <w:rPr>
          <w:color w:val="000000"/>
          <w:sz w:val="28"/>
          <w:szCs w:val="22"/>
        </w:rPr>
      </w:r>
    </w:p>
    <w:p>
      <w:pPr>
        <w:ind w:right="96" w:firstLine="709"/>
        <w:jc w:val="both"/>
        <w:spacing w:line="266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Первым был вопрос о половой принадлежности респондента, и, анализируя диаграмму, четко видно, что большинство опрошенных являются представителями женского пола (61 %), доля мужского населения составляет лишь (39 %). </w:t>
      </w:r>
      <w:bookmarkStart w:id="52" w:name="_Toc65944995"/>
      <w:r/>
      <w:bookmarkStart w:id="53" w:name="_Toc65960182"/>
      <w:r/>
      <w:bookmarkStart w:id="54" w:name="_Toc66272516"/>
      <w:r/>
      <w:bookmarkStart w:id="55" w:name="_Toc82684851"/>
      <w:r/>
      <w:r>
        <w:rPr>
          <w:color w:val="000000"/>
          <w:sz w:val="28"/>
          <w:szCs w:val="22"/>
        </w:rPr>
      </w:r>
    </w:p>
    <w:p>
      <w:pPr>
        <w:ind w:right="96" w:firstLine="709"/>
        <w:jc w:val="both"/>
        <w:spacing w:line="266" w:lineRule="auto"/>
        <w:rPr>
          <w:color w:val="000000"/>
          <w:sz w:val="28"/>
          <w:szCs w:val="22"/>
        </w:rPr>
      </w:pPr>
      <w:r>
        <w:rPr>
          <w:rFonts w:ascii="Wingdings" w:hAnsi="Wingdings" w:eastAsia="Wingdings" w:cs="Wingdings"/>
          <w:color w:val="000000"/>
          <w:sz w:val="28"/>
          <w:szCs w:val="22"/>
        </w:rPr>
        <w:t xml:space="preserve"></w:t>
      </w:r>
      <w:r>
        <w:rPr>
          <w:rFonts w:ascii="Arial" w:hAnsi="Arial" w:eastAsia="Arial" w:cs="Arial"/>
          <w:color w:val="000000"/>
          <w:sz w:val="28"/>
          <w:szCs w:val="22"/>
        </w:rPr>
        <w:t xml:space="preserve"> </w:t>
      </w:r>
      <w:r>
        <w:rPr>
          <w:rFonts w:ascii="Arial" w:hAnsi="Arial" w:eastAsia="Arial" w:cs="Arial"/>
          <w:color w:val="000000"/>
          <w:sz w:val="28"/>
          <w:szCs w:val="22"/>
        </w:rPr>
        <w:tab/>
      </w:r>
      <w:r>
        <w:rPr>
          <w:b/>
          <w:color w:val="000000"/>
          <w:sz w:val="28"/>
          <w:szCs w:val="22"/>
        </w:rPr>
        <w:t xml:space="preserve">Обращались ли Вы в МФЦ</w:t>
      </w:r>
      <w:bookmarkEnd w:id="52"/>
      <w:r/>
      <w:bookmarkEnd w:id="53"/>
      <w:r/>
      <w:bookmarkEnd w:id="54"/>
      <w:r/>
      <w:bookmarkEnd w:id="55"/>
      <w:r>
        <w:rPr>
          <w:b/>
          <w:color w:val="000000"/>
          <w:sz w:val="28"/>
          <w:szCs w:val="22"/>
        </w:rPr>
        <w:t xml:space="preserve">:</w:t>
      </w:r>
      <w:r>
        <w:rPr>
          <w:color w:val="000000"/>
          <w:sz w:val="28"/>
          <w:szCs w:val="22"/>
        </w:rPr>
      </w:r>
    </w:p>
    <w:p>
      <w:pPr>
        <w:ind w:right="79"/>
        <w:jc w:val="right"/>
        <w:spacing w:line="256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1895475"/>
                <wp:effectExtent l="0" t="0" r="9525" b="9525"/>
                <wp:docPr id="10" name="Picture 84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49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5934075" cy="1895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67.25pt;height:149.25pt;mso-wrap-distance-left:0.00pt;mso-wrap-distance-top:0.00pt;mso-wrap-distance-right:0.00pt;mso-wrap-distance-bottom:0.00pt;" stroked="f">
                <v:path textboxrect="0,0,0,0"/>
                <v:imagedata r:id="rId62" o:title=""/>
              </v:shape>
            </w:pict>
          </mc:Fallback>
        </mc:AlternateContent>
      </w:r>
      <w:r>
        <w:rPr>
          <w:color w:val="000000"/>
          <w:sz w:val="28"/>
          <w:szCs w:val="22"/>
        </w:rPr>
        <w:t xml:space="preserve"> </w:t>
      </w:r>
      <w:r>
        <w:rPr>
          <w:color w:val="000000"/>
          <w:sz w:val="28"/>
          <w:szCs w:val="22"/>
        </w:rPr>
      </w:r>
    </w:p>
    <w:p>
      <w:pPr>
        <w:ind w:right="65"/>
        <w:jc w:val="center"/>
        <w:spacing w:line="256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 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Для того, чтобы опрос был актуален, задавался вопрос об обращении респондентов в МФЦ и, как видно по диаграмме, все опрошенные дали ответ «да».</w:t>
      </w:r>
      <w:r>
        <w:rPr>
          <w:color w:val="000000"/>
          <w:sz w:val="28"/>
          <w:szCs w:val="22"/>
        </w:rPr>
      </w:r>
    </w:p>
    <w:p>
      <w:pPr>
        <w:ind w:firstLine="709"/>
        <w:jc w:val="both"/>
        <w:spacing w:line="360" w:lineRule="auto"/>
        <w:rPr>
          <w:color w:val="000000"/>
          <w:sz w:val="28"/>
          <w:szCs w:val="22"/>
        </w:rPr>
      </w:pPr>
      <w:r>
        <w:rPr>
          <w:rFonts w:ascii="Wingdings" w:hAnsi="Wingdings" w:eastAsia="Wingdings" w:cs="Wingdings"/>
          <w:color w:val="000000"/>
          <w:sz w:val="28"/>
          <w:szCs w:val="22"/>
        </w:rPr>
        <w:t xml:space="preserve"></w:t>
      </w:r>
      <w:r>
        <w:rPr>
          <w:rFonts w:ascii="Arial" w:hAnsi="Arial" w:eastAsia="Arial" w:cs="Arial"/>
          <w:color w:val="000000"/>
          <w:sz w:val="28"/>
          <w:szCs w:val="22"/>
        </w:rPr>
        <w:t xml:space="preserve"> </w:t>
      </w:r>
      <w:r>
        <w:rPr>
          <w:rFonts w:ascii="Arial" w:hAnsi="Arial" w:eastAsia="Arial" w:cs="Arial"/>
          <w:color w:val="000000"/>
          <w:sz w:val="28"/>
          <w:szCs w:val="22"/>
        </w:rPr>
        <w:tab/>
        <w:t xml:space="preserve">…</w:t>
      </w:r>
      <w:r>
        <w:rPr>
          <w:color w:val="000000"/>
          <w:sz w:val="28"/>
          <w:szCs w:val="22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FranklinGothicMedium,Bold">
    <w:panose1 w:val="020B0604030504040204"/>
  </w:font>
  <w:font w:name="Cambria Math">
    <w:panose1 w:val="02040803050406030204"/>
  </w:font>
  <w:font w:name="FranklinGothicBook">
    <w:panose1 w:val="020B0604030504040204"/>
  </w:font>
  <w:font w:name="Segoe UI Symbol">
    <w:panose1 w:val="020B050204050402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2"/>
      <w:rPr>
        <w:rStyle w:val="813"/>
      </w:rPr>
      <w:framePr w:wrap="around" w:vAnchor="text" w:hAnchor="margin" w:xAlign="center" w:y="1"/>
    </w:pPr>
    <w:r>
      <w:rPr>
        <w:rStyle w:val="813"/>
      </w:rPr>
      <w:fldChar w:fldCharType="begin"/>
    </w:r>
    <w:r>
      <w:rPr>
        <w:rStyle w:val="813"/>
      </w:rPr>
      <w:instrText xml:space="preserve">PAGE  </w:instrText>
    </w:r>
    <w:r>
      <w:rPr>
        <w:rStyle w:val="813"/>
      </w:rPr>
      <w:fldChar w:fldCharType="separate"/>
    </w:r>
    <w:r>
      <w:rPr>
        <w:rStyle w:val="813"/>
      </w:rPr>
      <w:t xml:space="preserve">5</w:t>
    </w:r>
    <w:r>
      <w:rPr>
        <w:rStyle w:val="813"/>
      </w:rPr>
      <w:fldChar w:fldCharType="end"/>
    </w:r>
    <w:r>
      <w:rPr>
        <w:rStyle w:val="813"/>
      </w:rPr>
    </w:r>
  </w:p>
  <w:p>
    <w:pPr>
      <w:pStyle w:val="81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2"/>
      <w:rPr>
        <w:rStyle w:val="813"/>
      </w:rPr>
      <w:framePr w:wrap="around" w:vAnchor="text" w:hAnchor="margin" w:xAlign="center" w:y="1"/>
    </w:pPr>
    <w:r>
      <w:rPr>
        <w:rStyle w:val="813"/>
      </w:rPr>
      <w:fldChar w:fldCharType="begin"/>
    </w:r>
    <w:r>
      <w:rPr>
        <w:rStyle w:val="813"/>
      </w:rPr>
      <w:instrText xml:space="preserve">PAGE  </w:instrText>
    </w:r>
    <w:r>
      <w:rPr>
        <w:rStyle w:val="813"/>
      </w:rPr>
      <w:fldChar w:fldCharType="end"/>
    </w:r>
    <w:r>
      <w:rPr>
        <w:rStyle w:val="813"/>
      </w:rPr>
    </w:r>
  </w:p>
  <w:p>
    <w:pPr>
      <w:pStyle w:val="81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25"/>
        <w:jc w:val="both"/>
      </w:pPr>
      <w:r>
        <w:rPr>
          <w:rStyle w:val="827"/>
        </w:rPr>
        <w:footnoteRef/>
      </w:r>
      <w:r>
        <w:t xml:space="preserve"> Составлено автором н</w:t>
      </w:r>
      <w:r>
        <w:t xml:space="preserve">а основ</w:t>
      </w:r>
      <w:r>
        <w:t xml:space="preserve">ании источника: Г</w:t>
      </w:r>
      <w:r>
        <w:t xml:space="preserve">одовы</w:t>
      </w:r>
      <w:r>
        <w:t xml:space="preserve">е</w:t>
      </w:r>
      <w:r>
        <w:t xml:space="preserve"> отчет</w:t>
      </w:r>
      <w:r>
        <w:t xml:space="preserve">ы</w:t>
      </w:r>
      <w:r>
        <w:t xml:space="preserve"> Федерального казначейства (https://roskazna.ru/ispolnenie-byudzhetov/federalnyj-byudzhet/)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40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40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40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40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eastAsia="Courier New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919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2" w:hanging="284"/>
        <w:tabs>
          <w:tab w:val="num" w:pos="108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548" w:hanging="360"/>
        <w:tabs>
          <w:tab w:val="num" w:pos="154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268" w:hanging="180"/>
        <w:tabs>
          <w:tab w:val="num" w:pos="226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88" w:hanging="360"/>
        <w:tabs>
          <w:tab w:val="num" w:pos="298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08" w:hanging="360"/>
        <w:tabs>
          <w:tab w:val="num" w:pos="370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428" w:hanging="180"/>
        <w:tabs>
          <w:tab w:val="num" w:pos="442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148" w:hanging="360"/>
        <w:tabs>
          <w:tab w:val="num" w:pos="514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868" w:hanging="360"/>
        <w:tabs>
          <w:tab w:val="num" w:pos="586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88" w:hanging="180"/>
        <w:tabs>
          <w:tab w:val="num" w:pos="6588" w:leader="none"/>
        </w:tabs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2" w:hanging="284"/>
        <w:tabs>
          <w:tab w:val="num" w:pos="108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548" w:hanging="360"/>
        <w:tabs>
          <w:tab w:val="num" w:pos="154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268" w:hanging="180"/>
        <w:tabs>
          <w:tab w:val="num" w:pos="226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88" w:hanging="360"/>
        <w:tabs>
          <w:tab w:val="num" w:pos="298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08" w:hanging="360"/>
        <w:tabs>
          <w:tab w:val="num" w:pos="370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428" w:hanging="180"/>
        <w:tabs>
          <w:tab w:val="num" w:pos="442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148" w:hanging="360"/>
        <w:tabs>
          <w:tab w:val="num" w:pos="514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868" w:hanging="360"/>
        <w:tabs>
          <w:tab w:val="num" w:pos="586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88" w:hanging="180"/>
        <w:tabs>
          <w:tab w:val="num" w:pos="6588" w:leader="none"/>
        </w:tabs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40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7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25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32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94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466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53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61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8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871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807" w:firstLine="0"/>
      </w:pPr>
      <w:rPr>
        <w:rFonts w:ascii="Wingdings" w:hAnsi="Wingdings" w:eastAsia="Wingdings" w:cs="Wingdings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Wingdings" w:hAnsi="Wingdings" w:eastAsia="Wingdings" w:cs="Wingdings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Wingdings" w:hAnsi="Wingdings" w:eastAsia="Wingdings" w:cs="Wingdings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Wingdings" w:hAnsi="Wingdings" w:eastAsia="Wingdings" w:cs="Wingdings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Wingdings" w:hAnsi="Wingdings" w:eastAsia="Wingdings" w:cs="Wingdings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Wingdings" w:hAnsi="Wingdings" w:eastAsia="Wingdings" w:cs="Wingdings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Wingdings" w:hAnsi="Wingdings" w:eastAsia="Wingdings" w:cs="Wingdings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Wingdings" w:hAnsi="Wingdings" w:eastAsia="Wingdings" w:cs="Wingdings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Wingdings" w:hAnsi="Wingdings" w:eastAsia="Wingdings" w:cs="Wingdings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40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40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74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40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 w:firstLine="0"/>
      </w:pPr>
      <w:rPr>
        <w:rFonts w:ascii="Arial" w:hAnsi="Arial" w:eastAsia="Arial" w:cs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 w:firstLine="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0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94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14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34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54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74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94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14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34" w:firstLine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2" w:hanging="284"/>
        <w:tabs>
          <w:tab w:val="num" w:pos="108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548" w:hanging="360"/>
        <w:tabs>
          <w:tab w:val="num" w:pos="154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268" w:hanging="180"/>
        <w:tabs>
          <w:tab w:val="num" w:pos="226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88" w:hanging="360"/>
        <w:tabs>
          <w:tab w:val="num" w:pos="298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08" w:hanging="360"/>
        <w:tabs>
          <w:tab w:val="num" w:pos="370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428" w:hanging="180"/>
        <w:tabs>
          <w:tab w:val="num" w:pos="442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148" w:hanging="360"/>
        <w:tabs>
          <w:tab w:val="num" w:pos="514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868" w:hanging="360"/>
        <w:tabs>
          <w:tab w:val="num" w:pos="586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88" w:hanging="180"/>
        <w:tabs>
          <w:tab w:val="num" w:pos="6588" w:leader="none"/>
        </w:tabs>
      </w:pPr>
    </w:lvl>
  </w:abstractNum>
  <w:abstractNum w:abstractNumId="44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7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25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32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94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466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538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610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828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2149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18"/>
  </w:num>
  <w:num w:numId="3">
    <w:abstractNumId w:val="43"/>
  </w:num>
  <w:num w:numId="4">
    <w:abstractNumId w:val="21"/>
  </w:num>
  <w:num w:numId="5">
    <w:abstractNumId w:val="23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6"/>
  </w:num>
  <w:num w:numId="9">
    <w:abstractNumId w:val="5"/>
  </w:num>
  <w:num w:numId="10">
    <w:abstractNumId w:val="38"/>
  </w:num>
  <w:num w:numId="11">
    <w:abstractNumId w:val="2"/>
  </w:num>
  <w:num w:numId="12">
    <w:abstractNumId w:val="13"/>
  </w:num>
  <w:num w:numId="13">
    <w:abstractNumId w:val="20"/>
  </w:num>
  <w:num w:numId="14">
    <w:abstractNumId w:val="46"/>
  </w:num>
  <w:num w:numId="15">
    <w:abstractNumId w:val="47"/>
  </w:num>
  <w:num w:numId="16">
    <w:abstractNumId w:val="1"/>
  </w:num>
  <w:num w:numId="17">
    <w:abstractNumId w:val="22"/>
  </w:num>
  <w:num w:numId="18">
    <w:abstractNumId w:val="42"/>
  </w:num>
  <w:num w:numId="19">
    <w:abstractNumId w:val="11"/>
  </w:num>
  <w:num w:numId="20">
    <w:abstractNumId w:val="45"/>
  </w:num>
  <w:num w:numId="21">
    <w:abstractNumId w:val="7"/>
  </w:num>
  <w:num w:numId="22">
    <w:abstractNumId w:val="29"/>
  </w:num>
  <w:num w:numId="23">
    <w:abstractNumId w:val="37"/>
  </w:num>
  <w:num w:numId="24">
    <w:abstractNumId w:val="4"/>
  </w:num>
  <w:num w:numId="25">
    <w:abstractNumId w:val="10"/>
  </w:num>
  <w:num w:numId="26">
    <w:abstractNumId w:val="32"/>
  </w:num>
  <w:num w:numId="27">
    <w:abstractNumId w:val="26"/>
  </w:num>
  <w:num w:numId="28">
    <w:abstractNumId w:val="19"/>
  </w:num>
  <w:num w:numId="29">
    <w:abstractNumId w:val="25"/>
  </w:num>
  <w:num w:numId="30">
    <w:abstractNumId w:val="33"/>
  </w:num>
  <w:num w:numId="31">
    <w:abstractNumId w:val="16"/>
  </w:num>
  <w:num w:numId="32">
    <w:abstractNumId w:val="24"/>
  </w:num>
  <w:num w:numId="33">
    <w:abstractNumId w:val="40"/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9"/>
  </w:num>
  <w:num w:numId="37">
    <w:abstractNumId w:val="14"/>
  </w:num>
  <w:num w:numId="38">
    <w:abstractNumId w:val="27"/>
  </w:num>
  <w:num w:numId="39">
    <w:abstractNumId w:val="12"/>
  </w:num>
  <w:num w:numId="40">
    <w:abstractNumId w:val="3"/>
  </w:num>
  <w:num w:numId="41">
    <w:abstractNumId w:val="36"/>
  </w:num>
  <w:num w:numId="42">
    <w:abstractNumId w:val="15"/>
  </w:num>
  <w:num w:numId="43">
    <w:abstractNumId w:val="35"/>
  </w:num>
  <w:num w:numId="44">
    <w:abstractNumId w:val="34"/>
  </w:num>
  <w:num w:numId="45">
    <w:abstractNumId w:val="28"/>
  </w:num>
  <w:num w:numId="46">
    <w:abstractNumId w:val="17"/>
  </w:num>
  <w:num w:numId="47">
    <w:abstractNumId w:val="41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805"/>
    <w:link w:val="801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805"/>
    <w:link w:val="802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805"/>
    <w:link w:val="803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800"/>
    <w:next w:val="80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805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805"/>
    <w:link w:val="804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800"/>
    <w:next w:val="80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80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800"/>
    <w:next w:val="80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80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800"/>
    <w:next w:val="80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80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800"/>
    <w:next w:val="80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80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805"/>
    <w:link w:val="811"/>
    <w:uiPriority w:val="10"/>
    <w:rPr>
      <w:sz w:val="48"/>
      <w:szCs w:val="48"/>
    </w:rPr>
  </w:style>
  <w:style w:type="paragraph" w:styleId="36">
    <w:name w:val="Subtitle"/>
    <w:basedOn w:val="800"/>
    <w:next w:val="80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805"/>
    <w:link w:val="36"/>
    <w:uiPriority w:val="11"/>
    <w:rPr>
      <w:sz w:val="24"/>
      <w:szCs w:val="24"/>
    </w:rPr>
  </w:style>
  <w:style w:type="paragraph" w:styleId="38">
    <w:name w:val="Quote"/>
    <w:basedOn w:val="800"/>
    <w:next w:val="80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800"/>
    <w:next w:val="80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805"/>
    <w:link w:val="834"/>
    <w:uiPriority w:val="99"/>
  </w:style>
  <w:style w:type="character" w:styleId="45">
    <w:name w:val="Footer Char"/>
    <w:basedOn w:val="805"/>
    <w:link w:val="812"/>
    <w:uiPriority w:val="99"/>
  </w:style>
  <w:style w:type="paragraph" w:styleId="46">
    <w:name w:val="Caption"/>
    <w:basedOn w:val="800"/>
    <w:next w:val="8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812"/>
    <w:uiPriority w:val="99"/>
  </w:style>
  <w:style w:type="table" w:styleId="49">
    <w:name w:val="Table Grid Light"/>
    <w:basedOn w:val="8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8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80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8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8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8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8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8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8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8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8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8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825"/>
    <w:uiPriority w:val="99"/>
    <w:rPr>
      <w:sz w:val="18"/>
    </w:rPr>
  </w:style>
  <w:style w:type="paragraph" w:styleId="178">
    <w:name w:val="endnote text"/>
    <w:basedOn w:val="80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805"/>
    <w:uiPriority w:val="99"/>
    <w:semiHidden/>
    <w:unhideWhenUsed/>
    <w:rPr>
      <w:vertAlign w:val="superscript"/>
    </w:rPr>
  </w:style>
  <w:style w:type="paragraph" w:styleId="184">
    <w:name w:val="toc 4"/>
    <w:basedOn w:val="800"/>
    <w:next w:val="80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800"/>
    <w:next w:val="80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800"/>
    <w:next w:val="80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800"/>
    <w:next w:val="80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800"/>
    <w:next w:val="80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800"/>
    <w:next w:val="800"/>
    <w:uiPriority w:val="39"/>
    <w:unhideWhenUsed/>
    <w:pPr>
      <w:ind w:left="2268" w:right="0" w:firstLine="0"/>
      <w:spacing w:after="57"/>
    </w:pPr>
  </w:style>
  <w:style w:type="paragraph" w:styleId="191">
    <w:name w:val="table of figures"/>
    <w:basedOn w:val="800"/>
    <w:next w:val="800"/>
    <w:uiPriority w:val="99"/>
    <w:unhideWhenUsed/>
    <w:pPr>
      <w:spacing w:after="0" w:afterAutospacing="0"/>
    </w:pPr>
  </w:style>
  <w:style w:type="paragraph" w:styleId="800" w:default="1">
    <w:name w:val="Normal"/>
    <w:qFormat/>
    <w:rPr>
      <w:sz w:val="24"/>
      <w:szCs w:val="24"/>
    </w:rPr>
  </w:style>
  <w:style w:type="paragraph" w:styleId="801">
    <w:name w:val="Heading 1"/>
    <w:basedOn w:val="800"/>
    <w:next w:val="800"/>
    <w:link w:val="822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802">
    <w:name w:val="Heading 2"/>
    <w:basedOn w:val="800"/>
    <w:next w:val="800"/>
    <w:link w:val="830"/>
    <w:uiPriority w:val="9"/>
    <w:qFormat/>
    <w:pPr>
      <w:ind w:left="2880" w:firstLine="720"/>
      <w:jc w:val="both"/>
      <w:keepNext/>
      <w:outlineLvl w:val="1"/>
    </w:pPr>
    <w:rPr>
      <w:sz w:val="28"/>
      <w:szCs w:val="28"/>
    </w:rPr>
  </w:style>
  <w:style w:type="paragraph" w:styleId="803">
    <w:name w:val="Heading 3"/>
    <w:basedOn w:val="800"/>
    <w:next w:val="800"/>
    <w:link w:val="837"/>
    <w:uiPriority w:val="9"/>
    <w:semiHidden/>
    <w:unhideWhenUsed/>
    <w:qFormat/>
    <w:pPr>
      <w:keepLines/>
      <w:keepNext/>
      <w:spacing w:before="4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804">
    <w:name w:val="Heading 5"/>
    <w:basedOn w:val="800"/>
    <w:next w:val="80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styleId="805" w:default="1">
    <w:name w:val="Default Paragraph Font"/>
    <w:uiPriority w:val="1"/>
    <w:semiHidden/>
    <w:unhideWhenUsed/>
  </w:style>
  <w:style w:type="table" w:styleId="8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7" w:default="1">
    <w:name w:val="No List"/>
    <w:uiPriority w:val="99"/>
    <w:semiHidden/>
    <w:unhideWhenUsed/>
  </w:style>
  <w:style w:type="table" w:styleId="808">
    <w:name w:val="Table Grid"/>
    <w:basedOn w:val="80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09">
    <w:name w:val="Body Text"/>
    <w:basedOn w:val="800"/>
    <w:link w:val="810"/>
    <w:pPr>
      <w:ind w:firstLine="709"/>
      <w:jc w:val="both"/>
    </w:pPr>
    <w:rPr>
      <w:sz w:val="28"/>
      <w:szCs w:val="20"/>
    </w:rPr>
  </w:style>
  <w:style w:type="character" w:styleId="810" w:customStyle="1">
    <w:name w:val="Основной текст Знак"/>
    <w:link w:val="809"/>
    <w:rPr>
      <w:sz w:val="28"/>
      <w:lang w:val="ru-RU" w:eastAsia="ru-RU" w:bidi="ar-SA"/>
    </w:rPr>
  </w:style>
  <w:style w:type="paragraph" w:styleId="811">
    <w:name w:val="Title"/>
    <w:basedOn w:val="800"/>
    <w:qFormat/>
    <w:pPr>
      <w:ind w:left="40"/>
      <w:jc w:val="center"/>
      <w:spacing w:before="180"/>
    </w:pPr>
    <w:rPr>
      <w:rFonts w:ascii="Arial" w:hAnsi="Arial" w:cs="Arial"/>
    </w:rPr>
  </w:style>
  <w:style w:type="paragraph" w:styleId="812">
    <w:name w:val="Footer"/>
    <w:basedOn w:val="800"/>
    <w:link w:val="836"/>
    <w:uiPriority w:val="99"/>
    <w:pPr>
      <w:tabs>
        <w:tab w:val="center" w:pos="4677" w:leader="none"/>
        <w:tab w:val="right" w:pos="9355" w:leader="none"/>
      </w:tabs>
    </w:pPr>
  </w:style>
  <w:style w:type="character" w:styleId="813">
    <w:name w:val="page number"/>
    <w:basedOn w:val="805"/>
  </w:style>
  <w:style w:type="paragraph" w:styleId="814" w:customStyle="1">
    <w:name w:val="Default"/>
    <w:rPr>
      <w:color w:val="000000"/>
      <w:sz w:val="24"/>
      <w:szCs w:val="24"/>
    </w:rPr>
  </w:style>
  <w:style w:type="paragraph" w:styleId="815">
    <w:name w:val="Body Text 2"/>
    <w:basedOn w:val="800"/>
    <w:pPr>
      <w:spacing w:after="120" w:line="480" w:lineRule="auto"/>
    </w:pPr>
  </w:style>
  <w:style w:type="character" w:styleId="816">
    <w:name w:val="Hyperlink"/>
    <w:uiPriority w:val="99"/>
    <w:rPr>
      <w:color w:val="004b99"/>
      <w:u w:val="single"/>
    </w:rPr>
  </w:style>
  <w:style w:type="paragraph" w:styleId="817" w:customStyle="1">
    <w:name w:val="ConsPlusNormal"/>
    <w:pPr>
      <w:ind w:firstLine="720"/>
    </w:pPr>
    <w:rPr>
      <w:rFonts w:ascii="Arial" w:hAnsi="Arial" w:cs="Arial"/>
    </w:rPr>
  </w:style>
  <w:style w:type="paragraph" w:styleId="818" w:customStyle="1">
    <w:name w:val="ConsNormal"/>
    <w:pPr>
      <w:ind w:right="19772" w:firstLine="720"/>
    </w:pPr>
    <w:rPr>
      <w:rFonts w:ascii="Arial" w:hAnsi="Arial" w:cs="Arial"/>
    </w:rPr>
  </w:style>
  <w:style w:type="paragraph" w:styleId="819" w:customStyle="1">
    <w:name w:val="Основной текст1"/>
    <w:basedOn w:val="800"/>
    <w:pPr>
      <w:jc w:val="both"/>
    </w:pPr>
    <w:rPr>
      <w:szCs w:val="20"/>
      <w:lang w:eastAsia="ar-SA"/>
    </w:rPr>
  </w:style>
  <w:style w:type="paragraph" w:styleId="820">
    <w:name w:val="List Paragraph"/>
    <w:basedOn w:val="800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821">
    <w:name w:val="Normal (Web)"/>
    <w:basedOn w:val="800"/>
    <w:uiPriority w:val="99"/>
    <w:unhideWhenUsed/>
    <w:pPr>
      <w:spacing w:before="100" w:beforeAutospacing="1" w:after="100" w:afterAutospacing="1"/>
    </w:pPr>
  </w:style>
  <w:style w:type="character" w:styleId="822" w:customStyle="1">
    <w:name w:val="Заголовок 1 Знак"/>
    <w:link w:val="801"/>
    <w:uiPriority w:val="9"/>
    <w:rPr>
      <w:rFonts w:ascii="Cambria" w:hAnsi="Cambria" w:eastAsia="Times New Roman" w:cs="Times New Roman"/>
      <w:b/>
      <w:bCs/>
      <w:sz w:val="32"/>
      <w:szCs w:val="32"/>
    </w:rPr>
  </w:style>
  <w:style w:type="paragraph" w:styleId="823">
    <w:name w:val="TOC Heading"/>
    <w:basedOn w:val="801"/>
    <w:next w:val="800"/>
    <w:uiPriority w:val="39"/>
    <w:unhideWhenUsed/>
    <w:qFormat/>
    <w:pPr>
      <w:keepLines/>
      <w:spacing w:before="480" w:after="0" w:line="276" w:lineRule="auto"/>
      <w:outlineLvl w:val="9"/>
    </w:pPr>
    <w:rPr>
      <w:color w:val="365f91"/>
      <w:sz w:val="28"/>
      <w:szCs w:val="28"/>
    </w:rPr>
  </w:style>
  <w:style w:type="paragraph" w:styleId="824">
    <w:name w:val="toc 1"/>
    <w:basedOn w:val="800"/>
    <w:next w:val="800"/>
    <w:uiPriority w:val="39"/>
  </w:style>
  <w:style w:type="paragraph" w:styleId="825">
    <w:name w:val="footnote text"/>
    <w:basedOn w:val="800"/>
    <w:link w:val="826"/>
    <w:rPr>
      <w:sz w:val="20"/>
      <w:szCs w:val="20"/>
    </w:rPr>
  </w:style>
  <w:style w:type="character" w:styleId="826" w:customStyle="1">
    <w:name w:val="Текст сноски Знак"/>
    <w:basedOn w:val="805"/>
    <w:link w:val="825"/>
  </w:style>
  <w:style w:type="character" w:styleId="827">
    <w:name w:val="footnote reference"/>
    <w:basedOn w:val="805"/>
    <w:rPr>
      <w:vertAlign w:val="superscript"/>
    </w:rPr>
  </w:style>
  <w:style w:type="paragraph" w:styleId="828" w:customStyle="1">
    <w:name w:val="Заголовок 31"/>
    <w:basedOn w:val="800"/>
    <w:next w:val="800"/>
    <w:uiPriority w:val="9"/>
    <w:unhideWhenUsed/>
    <w:qFormat/>
    <w:pPr>
      <w:keepLines/>
      <w:keepNext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numbering" w:styleId="829" w:customStyle="1">
    <w:name w:val="Нет списка1"/>
    <w:next w:val="807"/>
    <w:uiPriority w:val="99"/>
    <w:semiHidden/>
    <w:unhideWhenUsed/>
  </w:style>
  <w:style w:type="character" w:styleId="830" w:customStyle="1">
    <w:name w:val="Заголовок 2 Знак"/>
    <w:basedOn w:val="805"/>
    <w:link w:val="802"/>
    <w:uiPriority w:val="9"/>
    <w:rPr>
      <w:sz w:val="28"/>
      <w:szCs w:val="28"/>
    </w:rPr>
  </w:style>
  <w:style w:type="paragraph" w:styleId="831">
    <w:name w:val="toc 2"/>
    <w:basedOn w:val="800"/>
    <w:next w:val="800"/>
    <w:uiPriority w:val="39"/>
    <w:unhideWhenUsed/>
    <w:pPr>
      <w:ind w:left="220"/>
      <w:spacing w:after="1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832">
    <w:name w:val="Balloon Text"/>
    <w:basedOn w:val="800"/>
    <w:link w:val="833"/>
    <w:uiPriority w:val="99"/>
    <w:unhideWhenUsed/>
    <w:rPr>
      <w:rFonts w:ascii="Tahoma" w:hAnsi="Tahoma" w:eastAsia="Calibri" w:cs="Tahoma"/>
      <w:sz w:val="16"/>
      <w:szCs w:val="16"/>
      <w:lang w:eastAsia="en-US"/>
    </w:rPr>
  </w:style>
  <w:style w:type="character" w:styleId="833" w:customStyle="1">
    <w:name w:val="Текст выноски Знак"/>
    <w:basedOn w:val="805"/>
    <w:link w:val="832"/>
    <w:uiPriority w:val="99"/>
    <w:rPr>
      <w:rFonts w:ascii="Tahoma" w:hAnsi="Tahoma" w:eastAsia="Calibri" w:cs="Tahoma"/>
      <w:sz w:val="16"/>
      <w:szCs w:val="16"/>
      <w:lang w:eastAsia="en-US"/>
    </w:rPr>
  </w:style>
  <w:style w:type="paragraph" w:styleId="834">
    <w:name w:val="Header"/>
    <w:basedOn w:val="800"/>
    <w:link w:val="835"/>
    <w:uiPriority w:val="99"/>
    <w:unhideWhenUsed/>
    <w:pPr>
      <w:tabs>
        <w:tab w:val="center" w:pos="4677" w:leader="none"/>
        <w:tab w:val="right" w:pos="9355" w:leader="none"/>
      </w:tabs>
    </w:pPr>
    <w:rPr>
      <w:rFonts w:ascii="Calibri" w:hAnsi="Calibri" w:eastAsia="Calibri"/>
      <w:sz w:val="22"/>
      <w:szCs w:val="22"/>
      <w:lang w:eastAsia="en-US"/>
    </w:rPr>
  </w:style>
  <w:style w:type="character" w:styleId="835" w:customStyle="1">
    <w:name w:val="Верхний колонтитул Знак"/>
    <w:basedOn w:val="805"/>
    <w:link w:val="834"/>
    <w:uiPriority w:val="99"/>
    <w:rPr>
      <w:rFonts w:ascii="Calibri" w:hAnsi="Calibri" w:eastAsia="Calibri"/>
      <w:sz w:val="22"/>
      <w:szCs w:val="22"/>
      <w:lang w:eastAsia="en-US"/>
    </w:rPr>
  </w:style>
  <w:style w:type="character" w:styleId="836" w:customStyle="1">
    <w:name w:val="Нижний колонтитул Знак"/>
    <w:basedOn w:val="805"/>
    <w:link w:val="812"/>
    <w:uiPriority w:val="99"/>
    <w:rPr>
      <w:sz w:val="24"/>
      <w:szCs w:val="24"/>
    </w:rPr>
  </w:style>
  <w:style w:type="character" w:styleId="837" w:customStyle="1">
    <w:name w:val="Заголовок 3 Знак"/>
    <w:basedOn w:val="805"/>
    <w:link w:val="803"/>
    <w:uiPriority w:val="9"/>
    <w:rPr>
      <w:rFonts w:ascii="Cambria" w:hAnsi="Cambria" w:eastAsia="Times New Roman" w:cs="Times New Roman"/>
      <w:b/>
      <w:bCs/>
      <w:color w:val="4f81bd"/>
    </w:rPr>
  </w:style>
  <w:style w:type="table" w:styleId="838" w:customStyle="1">
    <w:name w:val="Table Grid"/>
    <w:rPr>
      <w:rFonts w:ascii="Calibri" w:hAnsi="Calibri"/>
      <w:sz w:val="22"/>
      <w:szCs w:val="22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TableGrid1"/>
    <w:rPr>
      <w:rFonts w:ascii="Calibri" w:hAnsi="Calibri"/>
      <w:sz w:val="22"/>
      <w:szCs w:val="22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TableGrid2"/>
    <w:rPr>
      <w:rFonts w:ascii="Calibri" w:hAnsi="Calibri"/>
      <w:sz w:val="22"/>
      <w:szCs w:val="22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TableGrid3"/>
    <w:rPr>
      <w:rFonts w:ascii="Calibri" w:hAnsi="Calibri"/>
      <w:sz w:val="22"/>
      <w:szCs w:val="22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TableGrid4"/>
    <w:rPr>
      <w:rFonts w:ascii="Calibri" w:hAnsi="Calibri"/>
      <w:sz w:val="22"/>
      <w:szCs w:val="22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43">
    <w:name w:val="toc 3"/>
    <w:basedOn w:val="800"/>
    <w:next w:val="800"/>
    <w:uiPriority w:val="39"/>
    <w:unhideWhenUsed/>
    <w:pPr>
      <w:ind w:left="709"/>
      <w:spacing w:after="100" w:line="360" w:lineRule="auto"/>
      <w:tabs>
        <w:tab w:val="right" w:pos="9345" w:leader="dot"/>
      </w:tabs>
    </w:pPr>
    <w:rPr>
      <w:rFonts w:eastAsia="Calibri"/>
      <w:sz w:val="28"/>
      <w:szCs w:val="28"/>
      <w:lang w:eastAsia="en-US"/>
    </w:rPr>
  </w:style>
  <w:style w:type="character" w:styleId="844" w:customStyle="1">
    <w:name w:val="Просмотренная гиперссылка1"/>
    <w:basedOn w:val="805"/>
    <w:uiPriority w:val="99"/>
    <w:semiHidden/>
    <w:unhideWhenUsed/>
    <w:rPr>
      <w:color w:val="800080"/>
      <w:u w:val="single"/>
    </w:rPr>
  </w:style>
  <w:style w:type="character" w:styleId="845" w:customStyle="1">
    <w:name w:val="Заголовок 3 Знак1"/>
    <w:basedOn w:val="805"/>
    <w:semiHidden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846">
    <w:name w:val="FollowedHyperlink"/>
    <w:basedOn w:val="805"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jpg"/><Relationship Id="rId13" Type="http://schemas.openxmlformats.org/officeDocument/2006/relationships/hyperlink" Target="https://online.muiv.ru/hdesk/" TargetMode="External"/><Relationship Id="rId14" Type="http://schemas.openxmlformats.org/officeDocument/2006/relationships/chart" Target="charts/chart1.xml" /><Relationship Id="rId15" Type="http://schemas.openxmlformats.org/officeDocument/2006/relationships/image" Target="media/image2.png"/><Relationship Id="rId16" Type="http://schemas.openxmlformats.org/officeDocument/2006/relationships/image" Target="media/image3.jpg"/><Relationship Id="rId17" Type="http://schemas.openxmlformats.org/officeDocument/2006/relationships/image" Target="media/image4.jpg"/><Relationship Id="rId18" Type="http://schemas.openxmlformats.org/officeDocument/2006/relationships/image" Target="media/image5.jpg"/><Relationship Id="rId19" Type="http://schemas.openxmlformats.org/officeDocument/2006/relationships/image" Target="media/image6.jpg"/><Relationship Id="rId20" Type="http://schemas.openxmlformats.org/officeDocument/2006/relationships/image" Target="media/image7.png"/><Relationship Id="rId21" Type="http://schemas.openxmlformats.org/officeDocument/2006/relationships/hyperlink" Target="http://www.consultant.ru/document/cons_doc_law_5142/" TargetMode="External"/><Relationship Id="rId22" Type="http://schemas.openxmlformats.org/officeDocument/2006/relationships/hyperlink" Target="http://www.consultant.ru/document/cons_doc_law_5142/" TargetMode="External"/><Relationship Id="rId23" Type="http://schemas.openxmlformats.org/officeDocument/2006/relationships/hyperlink" Target="http://www.consultant.ru/document/cons_doc_law_5142/" TargetMode="External"/><Relationship Id="rId24" Type="http://schemas.openxmlformats.org/officeDocument/2006/relationships/hyperlink" Target="http://www.consultant.ru/document/cons_doc_LAW_103023/" TargetMode="External"/><Relationship Id="rId25" Type="http://schemas.openxmlformats.org/officeDocument/2006/relationships/hyperlink" Target="https://base.garant.ru/196392/" TargetMode="External"/><Relationship Id="rId26" Type="http://schemas.openxmlformats.org/officeDocument/2006/relationships/hyperlink" Target="http://base.consultant.ru/cons/cgi/online.cgi?req=doc%3Bbase%3DLAW%3Bn%3D187315" TargetMode="External"/><Relationship Id="rId27" Type="http://schemas.openxmlformats.org/officeDocument/2006/relationships/hyperlink" Target="https://base.garant.ru/70290064/" TargetMode="External"/><Relationship Id="rId28" Type="http://schemas.openxmlformats.org/officeDocument/2006/relationships/hyperlink" Target="http://www.economy.gov.ru/" TargetMode="External"/><Relationship Id="rId29" Type="http://schemas.openxmlformats.org/officeDocument/2006/relationships/hyperlink" Target="http://www.economy.gov.ru/" TargetMode="External"/><Relationship Id="rId30" Type="http://schemas.openxmlformats.org/officeDocument/2006/relationships/hyperlink" Target="http://www.economy.gov.ru/" TargetMode="External"/><Relationship Id="rId31" Type="http://schemas.openxmlformats.org/officeDocument/2006/relationships/hyperlink" Target="https://base.garant.ru/12171809/" TargetMode="External"/><Relationship Id="rId32" Type="http://schemas.openxmlformats.org/officeDocument/2006/relationships/hyperlink" Target="http://www.consultant.ru/document/cons_doc_LAW_56259/" TargetMode="External"/><Relationship Id="rId33" Type="http://schemas.openxmlformats.org/officeDocument/2006/relationships/hyperlink" Target="http://www.consultant.ru/document/cons_doc_LAW_56259/" TargetMode="External"/><Relationship Id="rId34" Type="http://schemas.openxmlformats.org/officeDocument/2006/relationships/hyperlink" Target="http://www.consultant.ru/document/cons_doc_LAW_56259/" TargetMode="External"/><Relationship Id="rId35" Type="http://schemas.openxmlformats.org/officeDocument/2006/relationships/hyperlink" Target="http://pravo.gov.ru/proxy/ips/?docbody&amp;nd=102108071&amp;rdk&amp;backlink=1" TargetMode="External"/><Relationship Id="rId36" Type="http://schemas.openxmlformats.org/officeDocument/2006/relationships/hyperlink" Target="http://pravo.gov.ru/proxy/ips/?docbody&amp;nd=102108071&amp;rdk&amp;backlink=1" TargetMode="External"/><Relationship Id="rId37" Type="http://schemas.openxmlformats.org/officeDocument/2006/relationships/hyperlink" Target="http://pravo.gov.ru/proxy/ips/?docbody&amp;nd=102108071&amp;rdk&amp;backlink=1" TargetMode="External"/><Relationship Id="rId38" Type="http://schemas.openxmlformats.org/officeDocument/2006/relationships/hyperlink" Target="http://www.consultant.ru/document/cons_doc_LAW_76942/" TargetMode="External"/><Relationship Id="rId39" Type="http://schemas.openxmlformats.org/officeDocument/2006/relationships/hyperlink" Target="http://www.consultant.ru/document/cons_doc_LAW_76942/" TargetMode="External"/><Relationship Id="rId40" Type="http://schemas.openxmlformats.org/officeDocument/2006/relationships/hyperlink" Target="http://www.consultant.ru/document/cons_doc_LAW_76942/" TargetMode="External"/><Relationship Id="rId41" Type="http://schemas.openxmlformats.org/officeDocument/2006/relationships/hyperlink" Target="http://www.consultant.ru/law/chronomap/2003/7/" TargetMode="External"/><Relationship Id="rId42" Type="http://schemas.openxmlformats.org/officeDocument/2006/relationships/hyperlink" Target="http://www.consultant.ru/law/chronomap/2003/7/" TargetMode="External"/><Relationship Id="rId43" Type="http://schemas.openxmlformats.org/officeDocument/2006/relationships/hyperlink" Target="http://economy.gov.ru/minec/activity/sections/infOrientedSoc/doc20080207_01" TargetMode="External"/><Relationship Id="rId44" Type="http://schemas.openxmlformats.org/officeDocument/2006/relationships/hyperlink" Target="http://economy.gov.ru/minec/activity/sections/infOrientedSoc/doc20080207_01" TargetMode="External"/><Relationship Id="rId45" Type="http://schemas.openxmlformats.org/officeDocument/2006/relationships/hyperlink" Target="http://economy.gov.ru/minec/activity/sections/infOrientedSoc/doc20080207_01" TargetMode="External"/><Relationship Id="rId46" Type="http://schemas.openxmlformats.org/officeDocument/2006/relationships/hyperlink" Target="http://minsvyaz.ru/ru/activity/programs/6/" TargetMode="External"/><Relationship Id="rId47" Type="http://schemas.openxmlformats.org/officeDocument/2006/relationships/hyperlink" Target="http://minsvyaz.ru/ru/activity/programs/6/" TargetMode="External"/><Relationship Id="rId48" Type="http://schemas.openxmlformats.org/officeDocument/2006/relationships/hyperlink" Target="http://minsvyaz.ru/ru/activity/programs/1/" TargetMode="External"/><Relationship Id="rId49" Type="http://schemas.openxmlformats.org/officeDocument/2006/relationships/hyperlink" Target="http://minsvyaz.ru/ru/activity/programs/1/" TargetMode="External"/><Relationship Id="rId50" Type="http://schemas.openxmlformats.org/officeDocument/2006/relationships/hyperlink" Target="http://minsvyaz.ru/ru/activity/programs/1/" TargetMode="External"/><Relationship Id="rId51" Type="http://schemas.openxmlformats.org/officeDocument/2006/relationships/hyperlink" Target="http://www.uecard.ru/for-citizens/" TargetMode="External"/><Relationship Id="rId52" Type="http://schemas.openxmlformats.org/officeDocument/2006/relationships/hyperlink" Target="https://beta.gosuslugi.ru/" TargetMode="External"/><Relationship Id="rId53" Type="http://schemas.openxmlformats.org/officeDocument/2006/relationships/hyperlink" Target="https://www.gosuslugi.ru/" TargetMode="External"/><Relationship Id="rId54" Type="http://schemas.openxmlformats.org/officeDocument/2006/relationships/hyperlink" Target="http://mfc-korolev.ru/" TargetMode="External"/><Relationship Id="rId55" Type="http://schemas.openxmlformats.org/officeDocument/2006/relationships/hyperlink" Target="http://mfc-korolev.ru/" TargetMode="External"/><Relationship Id="rId56" Type="http://schemas.openxmlformats.org/officeDocument/2006/relationships/hyperlink" Target="http://mfc-korolev.ru/" TargetMode="External"/><Relationship Id="rId57" Type="http://schemas.openxmlformats.org/officeDocument/2006/relationships/hyperlink" Target="http://mfc-korolev.ru/" TargetMode="External"/><Relationship Id="rId58" Type="http://schemas.openxmlformats.org/officeDocument/2006/relationships/hyperlink" Target="http://www.korolev.ru/" TargetMode="External"/><Relationship Id="rId59" Type="http://schemas.openxmlformats.org/officeDocument/2006/relationships/hyperlink" Target="http://www.korolev.ru/" TargetMode="External"/><Relationship Id="rId60" Type="http://schemas.openxmlformats.org/officeDocument/2006/relationships/hyperlink" Target="http://www.korolev.ru/" TargetMode="External"/><Relationship Id="rId61" Type="http://schemas.openxmlformats.org/officeDocument/2006/relationships/image" Target="media/image8.png"/><Relationship Id="rId62" Type="http://schemas.openxmlformats.org/officeDocument/2006/relationships/image" Target="media/image9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themeOverride" Target="../theme/themeOverride1.xml" /><Relationship Id="rId2" Type="http://schemas.openxmlformats.org/officeDocument/2006/relationships/package" Target="../embeddings/Microsoft_Excel_Worksheet1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Налог на прибыль</c:v>
                </c:pt>
              </c:strCache>
            </c:strRef>
          </c:tx>
          <c:spPr bwMode="auto">
            <a:prstGeom prst="rect">
              <a:avLst/>
            </a:prstGeom>
            <a:ln w="28575" cap="rnd">
              <a:solidFill>
                <a:srgbClr val="12D473"/>
              </a:solidFill>
              <a:round/>
            </a:ln>
            <a:effectLst/>
          </c:spPr>
          <c:marker>
            <c:symbol val="diamond"/>
            <c:size val="8"/>
            <c:spPr bwMode="auto">
              <a:prstGeom prst="rect">
                <a:avLst/>
              </a:prstGeom>
              <a:solidFill>
                <a:srgbClr val="12D473"/>
              </a:solidFill>
              <a:ln w="9525">
                <a:solidFill>
                  <a:srgbClr val="12D473"/>
                </a:solidFill>
              </a:ln>
              <a:effectLst/>
            </c:spPr>
          </c:marker>
          <c:cat>
            <c:numRef>
              <c:f>Лист1!$A$2:$A$6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Лист1!$B$2:$B$6</c:f>
              <c:numCache>
                <c:formatCode>0.00</c:formatCode>
                <c:ptCount val="5"/>
                <c:pt idx="0">
                  <c:v>491.38</c:v>
                </c:pt>
                <c:pt idx="1">
                  <c:v>491.02</c:v>
                </c:pt>
                <c:pt idx="2">
                  <c:v>762.4</c:v>
                </c:pt>
                <c:pt idx="3">
                  <c:v>995.54</c:v>
                </c:pt>
                <c:pt idx="4">
                  <c:v>1185.03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 xml:space="preserve">НДС и акцизы</c:v>
                </c:pt>
              </c:strCache>
            </c:strRef>
          </c:tx>
          <c:spPr bwMode="auto">
            <a:prstGeom prst="rect">
              <a:avLst/>
            </a:prstGeom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7"/>
            <c:spPr bwMode="auto">
              <a:prstGeom prst="rect">
                <a:avLst/>
              </a:prstGeom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Лист1!$A$2:$A$6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Лист1!$C$2:$C$6</c:f>
              <c:numCache>
                <c:formatCode>0.00</c:formatCode>
                <c:ptCount val="5"/>
                <c:pt idx="0">
                  <c:v>2976.24</c:v>
                </c:pt>
                <c:pt idx="1">
                  <c:v>5265.2</c:v>
                </c:pt>
                <c:pt idx="2">
                  <c:v>6124.95</c:v>
                </c:pt>
                <c:pt idx="3">
                  <c:v>6973.77</c:v>
                </c:pt>
                <c:pt idx="4">
                  <c:v>7707.6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НДПИ</c:v>
                </c:pt>
              </c:strCache>
            </c:strRef>
          </c:tx>
          <c:spPr bwMode="auto">
            <a:prstGeom prst="rect">
              <a:avLst/>
            </a:prstGeom>
            <a:ln w="28575" cap="rnd">
              <a:solidFill>
                <a:schemeClr val="accent5">
                  <a:lumMod val="75000"/>
                </a:schemeClr>
              </a:solidFill>
              <a:round/>
            </a:ln>
            <a:effectLst/>
          </c:spPr>
          <c:marker>
            <c:symbol val="triangle"/>
            <c:size val="7"/>
            <c:spPr bwMode="auto">
              <a:prstGeom prst="rect">
                <a:avLst/>
              </a:prstGeom>
              <a:solidFill>
                <a:schemeClr val="accent5">
                  <a:lumMod val="75000"/>
                </a:schemeClr>
              </a:solidFill>
              <a:ln w="9525">
                <a:solidFill>
                  <a:schemeClr val="accent5">
                    <a:lumMod val="75000"/>
                  </a:schemeClr>
                </a:solidFill>
              </a:ln>
              <a:effectLst/>
            </c:spPr>
          </c:marker>
          <c:cat>
            <c:numRef>
              <c:f>Лист1!$A$2:$A$6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Лист1!$D$2:$D$6</c:f>
              <c:numCache>
                <c:formatCode>0.00</c:formatCode>
                <c:ptCount val="5"/>
                <c:pt idx="0">
                  <c:v>3181.15</c:v>
                </c:pt>
                <c:pt idx="1">
                  <c:v>2882.96</c:v>
                </c:pt>
                <c:pt idx="2">
                  <c:v>4090.33</c:v>
                </c:pt>
                <c:pt idx="3">
                  <c:v>6106.91</c:v>
                </c:pt>
                <c:pt idx="4">
                  <c:v>6173.06</c:v>
                </c:pt>
              </c:numCache>
            </c:numRef>
          </c:val>
          <c:smooth val="0"/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marker val="1"/>
        <c:smooth val="0"/>
        <c:axId val="117555968"/>
        <c:axId val="117557888"/>
      </c:lineChart>
      <c:catAx>
        <c:axId val="117555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Calibri"/>
                <a:ea typeface="Arial"/>
                <a:cs typeface="Arial"/>
              </a:defRPr>
            </a:pPr>
            <a:endParaRPr lang="ru-RU"/>
          </a:p>
        </c:txPr>
        <c:crossAx val="117557888"/>
        <c:crosses val="autoZero"/>
        <c:auto val="1"/>
        <c:lblAlgn val="ctr"/>
        <c:lblOffset val="100"/>
        <c:noMultiLvlLbl val="0"/>
      </c:catAx>
      <c:valAx>
        <c:axId val="117557888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  <a:tailEnd type="none"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solidFill>
              <a:schemeClr val="bg1">
                <a:lumMod val="75000"/>
              </a:schemeClr>
            </a:solidFill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Calibri"/>
                <a:ea typeface="Arial"/>
                <a:cs typeface="Arial"/>
              </a:defRPr>
            </a:pPr>
            <a:endParaRPr lang="ru-RU"/>
          </a:p>
        </c:txPr>
        <c:crossAx val="117555968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  <a:effectLst/>
      </c:spPr>
    </c:plotArea>
    <c:legend>
      <c:legendPos val="b"/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 xmlns:r="http://schemas.openxmlformats.org/officeDocument/2006/relationships" xmlns:p="http://schemas.openxmlformats.org/presentation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Arial"/>
      <a:cs typeface="Arial"/>
    </a:majorFont>
    <a:minorFont>
      <a:latin typeface="Calibri"/>
      <a:ea typeface="Arial"/>
      <a:cs typeface="Arial"/>
    </a:minorFont>
  </a:fontScheme>
  <a:fmtScheme name="Стандартная">
    <a:fillStyleLst>
      <a:solidFill>
        <a:schemeClr val="phClr"/>
      </a:solidFill>
      <a:gradFill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545E9-BACA-4D4B-A042-87BAC0CBC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MIEMP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easolonko</dc:creator>
  <cp:keywords/>
  <cp:lastModifiedBy>Максим Соколов</cp:lastModifiedBy>
  <cp:revision>3</cp:revision>
  <dcterms:created xsi:type="dcterms:W3CDTF">2023-12-14T16:33:00Z</dcterms:created>
  <dcterms:modified xsi:type="dcterms:W3CDTF">2023-12-18T13:11:07Z</dcterms:modified>
</cp:coreProperties>
</file>