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A66" w:rsidRDefault="00E62A66" w:rsidP="00E62A66">
      <w:r>
        <w:t>1. Общие указания для выполнения курсовой работы</w:t>
      </w:r>
    </w:p>
    <w:p w:rsidR="00E62A66" w:rsidRDefault="00E62A66" w:rsidP="00E62A66">
      <w:r>
        <w:t xml:space="preserve">Цель данной курсовой работы - закрепить теоретические знания </w:t>
      </w:r>
      <w:proofErr w:type="gramStart"/>
      <w:r>
        <w:t>по  курсу</w:t>
      </w:r>
      <w:proofErr w:type="gramEnd"/>
      <w:r>
        <w:t xml:space="preserve"> «Учет и анализ».</w:t>
      </w:r>
    </w:p>
    <w:p w:rsidR="00E62A66" w:rsidRDefault="00E62A66" w:rsidP="00E62A66"/>
    <w:p w:rsidR="00E62A66" w:rsidRDefault="00E62A66" w:rsidP="00E62A66">
      <w:r>
        <w:t>Все, что подлежит бухгалтерскому учету, рассматривается с двух позиций: что это такое и откуда взялось. Именно этот принцип и положен в основу баланса предприятия.</w:t>
      </w:r>
    </w:p>
    <w:p w:rsidR="00E62A66" w:rsidRDefault="00E62A66" w:rsidP="00E62A66"/>
    <w:p w:rsidR="00E62A66" w:rsidRDefault="00E62A66" w:rsidP="00E62A66">
      <w:r>
        <w:t xml:space="preserve">Форма бухгалтерского баланса регламентирована Минфином России, как по его содержанию, так и по правилам составления. Все коммерческие организации, в том числе </w:t>
      </w:r>
      <w:proofErr w:type="spellStart"/>
      <w:r>
        <w:t>туристкие</w:t>
      </w:r>
      <w:proofErr w:type="spellEnd"/>
      <w:r>
        <w:t xml:space="preserve"> фирмы, независимо от их организационно-правовых форм, составляют баланс по типовой форме, утверждаемой Минфином России как правило на предстоящий отчетный год.</w:t>
      </w:r>
    </w:p>
    <w:p w:rsidR="00E62A66" w:rsidRDefault="00E62A66" w:rsidP="00E62A66"/>
    <w:p w:rsidR="00E62A66" w:rsidRDefault="00E62A66" w:rsidP="00E62A66">
      <w:r>
        <w:t>Структура баланса как форма отчетности неоднократно изменялась, и в современной бухгалтерской практике существуют две формы баланса:</w:t>
      </w:r>
    </w:p>
    <w:p w:rsidR="00E62A66" w:rsidRDefault="00E62A66" w:rsidP="00E62A66"/>
    <w:p w:rsidR="00E62A66" w:rsidRDefault="00E62A66" w:rsidP="00E62A66">
      <w:r>
        <w:t>Двухсторонняя таблица (горизонтальная структура);</w:t>
      </w:r>
    </w:p>
    <w:p w:rsidR="00E62A66" w:rsidRDefault="00E62A66" w:rsidP="00E62A66">
      <w:r>
        <w:t>Односторонняя таблица (вертикальная структура).</w:t>
      </w:r>
    </w:p>
    <w:p w:rsidR="00E62A66" w:rsidRDefault="00E62A66" w:rsidP="00E62A66">
      <w:r>
        <w:t xml:space="preserve">Итак, баланс представляет собой таблицу, в одной части </w:t>
      </w:r>
      <w:proofErr w:type="gramStart"/>
      <w:r>
        <w:t>которой  сгруппированы</w:t>
      </w:r>
      <w:proofErr w:type="gramEnd"/>
      <w:r>
        <w:t xml:space="preserve"> хозяйственные средства - АКТИВ, в другой, отражаются источники образования этих средств - ПАССИВ.</w:t>
      </w:r>
    </w:p>
    <w:p w:rsidR="00E62A66" w:rsidRDefault="00E62A66" w:rsidP="00E62A66"/>
    <w:p w:rsidR="00E62A66" w:rsidRDefault="00E62A66" w:rsidP="00E62A66">
      <w:r>
        <w:t>Актив и пассив баланса строят из отдельных статей, которые представляют собой однородные виды средств и источников их формирования (видов имущества, обязательств, капитала). Отдельные статьи баланса объединяются в группы и разделы по экономическому содержанию активов и пассивов предприятия.</w:t>
      </w:r>
    </w:p>
    <w:p w:rsidR="00E62A66" w:rsidRDefault="00E62A66" w:rsidP="00E62A66"/>
    <w:p w:rsidR="00E62A66" w:rsidRDefault="00E62A66" w:rsidP="00E62A66">
      <w:r>
        <w:t>Актив баланса отражает средства организации по видам (основные средства, нематериальные активы, сырье и материалы, готовая продукция и товары, денежные средства) и их размещению (дебиторская задолженность, финансовые вложения, незавершенное строительство и производство, касса, расчетные и валютные счета, ценные бумаги убытки).</w:t>
      </w:r>
    </w:p>
    <w:p w:rsidR="00E62A66" w:rsidRDefault="00E62A66" w:rsidP="00E62A66"/>
    <w:p w:rsidR="00E62A66" w:rsidRDefault="00E62A66" w:rsidP="00E62A66">
      <w:r>
        <w:t>Пассив баланса показывает источники средств по видам (капитал, резервы, прибыль, займы, кредиторская задолженность); по целевому характеру (уставный, добавочный, резервный капитал, фонды накоплении, социальной сферы, кредиты банков, другие займы, кредиторская задолженность поставщикам и подрядчикам, по оплате труда, перед бюджетом и другими кредиторами</w:t>
      </w:r>
      <w:proofErr w:type="gramStart"/>
      <w:r>
        <w:t>),  и</w:t>
      </w:r>
      <w:proofErr w:type="gramEnd"/>
      <w:r>
        <w:t xml:space="preserve"> по срокам погашения (долгосрочные – подлежащие погашению более чем через год и краткосрочные – менее чем через год.</w:t>
      </w:r>
    </w:p>
    <w:p w:rsidR="00E62A66" w:rsidRDefault="00E62A66" w:rsidP="00E62A66"/>
    <w:p w:rsidR="00E62A66" w:rsidRDefault="00E62A66" w:rsidP="00E62A66">
      <w:r>
        <w:t xml:space="preserve">Сумма всех показателей актива и пассива баланса называется его валютой. Понятно, что сумма всех строк актива должна быть равна сумме всех строк пассива (именно поэтому указанная таблица и называется балансом). Происходит это потому, что в активе и пассиве баланса </w:t>
      </w:r>
      <w:r>
        <w:lastRenderedPageBreak/>
        <w:t>отражены одни и те же средства, только рассмотренные с двух разных точек зрения (по составу – в активе, по источникам – в пассиве).</w:t>
      </w:r>
    </w:p>
    <w:p w:rsidR="00E62A66" w:rsidRDefault="00E62A66" w:rsidP="00E62A66"/>
    <w:p w:rsidR="00E62A66" w:rsidRDefault="00E62A66" w:rsidP="00E62A66">
      <w:r>
        <w:t>Типовая форма бухгалтерского баланса приведена в Приложении № 1.</w:t>
      </w:r>
    </w:p>
    <w:p w:rsidR="00E62A66" w:rsidRDefault="00E62A66" w:rsidP="00E62A66"/>
    <w:p w:rsidR="00E62A66" w:rsidRDefault="00E62A66" w:rsidP="00E62A66">
      <w:r>
        <w:t>Баланс составляется на определенную дату, как правил о на начало квартала, что обусловлено требованиями, предъявляемыми к отчетности, и показывает состояние средств и из источников на данный момент. Они постоянно изменяются, находясь в движении, которое отражается на счетах с помощью двойной записи.</w:t>
      </w:r>
    </w:p>
    <w:p w:rsidR="00E62A66" w:rsidRDefault="00E62A66" w:rsidP="00E62A66"/>
    <w:p w:rsidR="00E62A66" w:rsidRDefault="00E62A66" w:rsidP="00E62A66">
      <w:r>
        <w:t>Двойная запись имеет контрольное значение. Сумма дебетовых оборотов по всем синтетическим счетам должна быть равна сумме всех кредитовых оборотов.</w:t>
      </w:r>
    </w:p>
    <w:p w:rsidR="00E62A66" w:rsidRDefault="00E62A66" w:rsidP="00E62A66"/>
    <w:p w:rsidR="00E62A66" w:rsidRDefault="00E62A66" w:rsidP="00E62A66">
      <w:r>
        <w:t>Контроль за движением хозяйственных средств и источников ведут при помощи одного из элементов метода бухгалтерского учета - счетов бухгалтерского учета.</w:t>
      </w:r>
    </w:p>
    <w:p w:rsidR="00E62A66" w:rsidRDefault="00E62A66" w:rsidP="00E62A66"/>
    <w:p w:rsidR="00E62A66" w:rsidRDefault="00E62A66" w:rsidP="00E62A66">
      <w:r>
        <w:t>Бухгалтерский счет—это учетный регистр, открываемый для учета наличия и движения определенного вида хозяйственных средств, или их источников, или хозяйственных процессов или их результатов.</w:t>
      </w:r>
    </w:p>
    <w:p w:rsidR="00E62A66" w:rsidRDefault="00E62A66" w:rsidP="00E62A66"/>
    <w:p w:rsidR="00E62A66" w:rsidRDefault="00E62A66" w:rsidP="00E62A66">
      <w:r>
        <w:t>Счет является квалификационным признаком, позволяющим идентифицировать объекты бухгалтерского учета. Для этого счет имеет название и кодовое обозначение (см. Приложение 2). Счета открываются на каждый вид хозяйственных средств, источников их образования и хозяйственных процессов в соответствие с классификацией объектов бухгалтерского учета.</w:t>
      </w:r>
    </w:p>
    <w:p w:rsidR="00E62A66" w:rsidRDefault="00E62A66" w:rsidP="00E62A66"/>
    <w:p w:rsidR="00E62A66" w:rsidRDefault="00E62A66" w:rsidP="00E62A66">
      <w:r>
        <w:t xml:space="preserve">По своей форме бухгалтерский счет это таблица, левая часть которой называется дебет </w:t>
      </w:r>
      <w:proofErr w:type="gramStart"/>
      <w:r>
        <w:t>( от</w:t>
      </w:r>
      <w:proofErr w:type="gramEnd"/>
      <w:r>
        <w:t xml:space="preserve"> лат. он должен) и обозначается буквой «Д»; правая часть кредит (от лат. он верит, доверяет), обозначается буквой «К».</w:t>
      </w:r>
    </w:p>
    <w:p w:rsidR="00E62A66" w:rsidRDefault="00E62A66" w:rsidP="00E62A66"/>
    <w:p w:rsidR="00E62A66" w:rsidRDefault="00E62A66" w:rsidP="00E62A66">
      <w:r>
        <w:t>Для большинства счетов (балансовых) характерно наличие остатка (сальдо) на начало и конец месяца, а также оборотов за месяц по дебету и кредиту.</w:t>
      </w:r>
    </w:p>
    <w:p w:rsidR="00E62A66" w:rsidRDefault="00E62A66" w:rsidP="00E62A66"/>
    <w:p w:rsidR="00E62A66" w:rsidRDefault="00E62A66" w:rsidP="00E62A66">
      <w:r>
        <w:t xml:space="preserve">Счет открывается начальным остатком из баланса, который называется начальное сальдо </w:t>
      </w:r>
      <w:proofErr w:type="spellStart"/>
      <w:r>
        <w:t>Сн</w:t>
      </w:r>
      <w:proofErr w:type="spellEnd"/>
      <w:r>
        <w:t xml:space="preserve"> </w:t>
      </w:r>
      <w:proofErr w:type="gramStart"/>
      <w:r>
        <w:t>( в</w:t>
      </w:r>
      <w:proofErr w:type="gramEnd"/>
      <w:r>
        <w:t xml:space="preserve"> переводе с итальянского означает «расчет») - это разница между дебетом и кредитом; конечное сальдо </w:t>
      </w:r>
      <w:proofErr w:type="spellStart"/>
      <w:r>
        <w:t>Ск</w:t>
      </w:r>
      <w:proofErr w:type="spellEnd"/>
      <w:r>
        <w:t xml:space="preserve"> определяется расчетным путем.</w:t>
      </w:r>
    </w:p>
    <w:p w:rsidR="00E62A66" w:rsidRDefault="00E62A66" w:rsidP="00E62A66"/>
    <w:p w:rsidR="00E62A66" w:rsidRDefault="00E62A66" w:rsidP="00E62A66">
      <w:r>
        <w:t>Оборот счета – сумма записей текущих операций за отчетный период по дебету- дебетовый оборот, по кредиту счета- кредитовый оборот.</w:t>
      </w:r>
    </w:p>
    <w:p w:rsidR="00E62A66" w:rsidRDefault="00E62A66" w:rsidP="00E62A66"/>
    <w:p w:rsidR="00E62A66" w:rsidRDefault="00E62A66" w:rsidP="00E62A66">
      <w:r>
        <w:t>Бухгалтерские счета, в свою очередь, это носители информации и одновременно способ ее получения. Для раскрытия экономического содержания накопленной информации, ее осмысления, анализа и правильного использования в управленческой деятельности необходимо сгруппировать ее носители по соответствующим признакам. Это достигается с помощью классификации.</w:t>
      </w:r>
    </w:p>
    <w:p w:rsidR="00E62A66" w:rsidRDefault="00E62A66" w:rsidP="00E62A66"/>
    <w:p w:rsidR="00E62A66" w:rsidRDefault="00E62A66" w:rsidP="00E62A66">
      <w:r>
        <w:t>Классифицировать бухгалтерские счета принято по нескольким направлениям:</w:t>
      </w:r>
    </w:p>
    <w:p w:rsidR="00E62A66" w:rsidRDefault="00E62A66" w:rsidP="00E62A66"/>
    <w:p w:rsidR="00E62A66" w:rsidRDefault="00E62A66" w:rsidP="00E62A66">
      <w:r>
        <w:t>по экономическому содержанию учитываемых объектов;</w:t>
      </w:r>
    </w:p>
    <w:p w:rsidR="00E62A66" w:rsidRDefault="00E62A66" w:rsidP="00E62A66">
      <w:r>
        <w:t>по структуре и назначению;</w:t>
      </w:r>
    </w:p>
    <w:p w:rsidR="00E62A66" w:rsidRDefault="00E62A66" w:rsidP="00E62A66">
      <w:r>
        <w:t>по отношению к балансу.</w:t>
      </w:r>
    </w:p>
    <w:p w:rsidR="00E62A66" w:rsidRDefault="00E62A66" w:rsidP="00E62A66">
      <w:r>
        <w:t>Как известно, в основу любой классификации положен признак, указывающий на общие черты, свойственные классифицируемым объектам. Не исключение и классификация бухгалтерских счетов.</w:t>
      </w:r>
    </w:p>
    <w:p w:rsidR="00E62A66" w:rsidRDefault="00E62A66" w:rsidP="00E62A66"/>
    <w:p w:rsidR="00E62A66" w:rsidRDefault="00E62A66" w:rsidP="00E62A66">
      <w:r>
        <w:t xml:space="preserve">При классификации счетов по экономическому содержанию за основу взят признак предмета (объекта) учета: </w:t>
      </w:r>
      <w:proofErr w:type="spellStart"/>
      <w:r>
        <w:t>чтоучитывается</w:t>
      </w:r>
      <w:proofErr w:type="spellEnd"/>
      <w:r>
        <w:t xml:space="preserve"> на счете. При классификации счетов по структуре обобщающий признак — принцип отражения объекта на счете: </w:t>
      </w:r>
      <w:proofErr w:type="spellStart"/>
      <w:r>
        <w:t>какучитывается</w:t>
      </w:r>
      <w:proofErr w:type="spellEnd"/>
      <w:r>
        <w:t xml:space="preserve"> объект. При классификации счетов по назначению отвечают на вопрос: с какой целью ведется учет?</w:t>
      </w:r>
    </w:p>
    <w:p w:rsidR="00E62A66" w:rsidRDefault="00E62A66" w:rsidP="00E62A66"/>
    <w:p w:rsidR="00530FF8" w:rsidRDefault="00E62A66" w:rsidP="00E62A66">
      <w:r>
        <w:t>Классификация счетов по экономическому содержанию положена в основу группировки бухгалтерских счетов по разделам Плана счетов бухгалтерского учета финансово-хозяйственной деятельности предприятий (схема 1).</w:t>
      </w:r>
    </w:p>
    <w:p w:rsidR="00E62A66" w:rsidRDefault="00E62A66" w:rsidP="00E62A66">
      <w:r>
        <w:rPr>
          <w:noProof/>
          <w:lang w:eastAsia="ru-RU"/>
        </w:rPr>
        <w:drawing>
          <wp:inline distT="0" distB="0" distL="0" distR="0" wp14:anchorId="04964D19" wp14:editId="7DB39242">
            <wp:extent cx="5940425" cy="184531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4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A66" w:rsidRPr="00E62A66" w:rsidRDefault="00E62A66" w:rsidP="00E62A66">
      <w:pPr>
        <w:shd w:val="clear" w:color="auto" w:fill="FFFFFF"/>
        <w:spacing w:after="30"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A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Схема 1. Классификация счетов по экономическому содержанию.</w:t>
      </w:r>
    </w:p>
    <w:p w:rsidR="00E62A66" w:rsidRPr="00E62A66" w:rsidRDefault="00E62A66" w:rsidP="00E62A66">
      <w:pPr>
        <w:shd w:val="clear" w:color="auto" w:fill="FFFFFF"/>
        <w:spacing w:before="225" w:after="22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</w:pPr>
      <w:r w:rsidRPr="00E62A66"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  <w:t>Классификация счетов по структуре и назначению</w:t>
      </w:r>
    </w:p>
    <w:p w:rsidR="00E62A66" w:rsidRPr="00E62A66" w:rsidRDefault="00E62A66" w:rsidP="00E62A66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основе такой классификации лежит группировка счетов по особенностям их построения: основные, регулирующие, распределительные, калькуляционные, сопоставляющие, финансово-результативные, </w:t>
      </w:r>
      <w:proofErr w:type="spellStart"/>
      <w:r w:rsidRPr="00E62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забалансовые</w:t>
      </w:r>
      <w:proofErr w:type="spellEnd"/>
      <w:r w:rsidRPr="00E62A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(схема 2)</w:t>
      </w:r>
    </w:p>
    <w:p w:rsidR="00E62A66" w:rsidRDefault="00E62A66" w:rsidP="00E62A66"/>
    <w:p w:rsidR="00E62A66" w:rsidRDefault="00E62A66" w:rsidP="00E62A66">
      <w:r>
        <w:rPr>
          <w:noProof/>
          <w:lang w:eastAsia="ru-RU"/>
        </w:rPr>
        <w:lastRenderedPageBreak/>
        <w:drawing>
          <wp:inline distT="0" distB="0" distL="0" distR="0" wp14:anchorId="14DA4F01" wp14:editId="554A1472">
            <wp:extent cx="4343400" cy="5162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A66" w:rsidRDefault="00E62A66" w:rsidP="00E62A66">
      <w:r>
        <w:t>Схема 2. Классификация счетов бухгалтерского учета</w:t>
      </w:r>
    </w:p>
    <w:p w:rsidR="00E62A66" w:rsidRDefault="00E62A66" w:rsidP="00E62A66"/>
    <w:p w:rsidR="00E62A66" w:rsidRDefault="00E62A66" w:rsidP="00E62A66">
      <w:r>
        <w:t>Для контроля за правильностью записи хозяйственных операций в бухгалтерские счета и для получения данных о движении хозяйственных средств и источников их образования составляются оборотные ведомости по синтетическим счетам (Форма 3).</w:t>
      </w:r>
    </w:p>
    <w:p w:rsidR="00E62A66" w:rsidRDefault="00E62A66" w:rsidP="00E62A66"/>
    <w:p w:rsidR="00E62A66" w:rsidRDefault="00E62A66" w:rsidP="00E62A66">
      <w:r>
        <w:rPr>
          <w:noProof/>
          <w:lang w:eastAsia="ru-RU"/>
        </w:rPr>
        <w:lastRenderedPageBreak/>
        <w:drawing>
          <wp:inline distT="0" distB="0" distL="0" distR="0" wp14:anchorId="4123FD3B" wp14:editId="548284CF">
            <wp:extent cx="5940425" cy="2475865"/>
            <wp:effectExtent l="0" t="0" r="317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7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4A04C12" wp14:editId="26B3B78B">
            <wp:extent cx="5940425" cy="166306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6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A66" w:rsidRDefault="00E62A66" w:rsidP="00E62A66">
      <w:r>
        <w:rPr>
          <w:noProof/>
          <w:lang w:eastAsia="ru-RU"/>
        </w:rPr>
        <w:lastRenderedPageBreak/>
        <w:drawing>
          <wp:inline distT="0" distB="0" distL="0" distR="0" wp14:anchorId="14D861E5" wp14:editId="585E4630">
            <wp:extent cx="5940425" cy="413766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3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A06ACCF" wp14:editId="6A8249DA">
            <wp:extent cx="5940425" cy="1673860"/>
            <wp:effectExtent l="0" t="0" r="317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A66" w:rsidRDefault="00E62A66" w:rsidP="00E62A66">
      <w:r>
        <w:rPr>
          <w:noProof/>
          <w:lang w:eastAsia="ru-RU"/>
        </w:rPr>
        <w:lastRenderedPageBreak/>
        <w:drawing>
          <wp:inline distT="0" distB="0" distL="0" distR="0" wp14:anchorId="1827A5B0" wp14:editId="140497FA">
            <wp:extent cx="5940425" cy="3173095"/>
            <wp:effectExtent l="0" t="0" r="3175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7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4058DA5" wp14:editId="2E2D2592">
            <wp:extent cx="5940425" cy="263715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3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A66" w:rsidRDefault="00E62A66" w:rsidP="00E62A66">
      <w:r>
        <w:rPr>
          <w:noProof/>
          <w:lang w:eastAsia="ru-RU"/>
        </w:rPr>
        <w:lastRenderedPageBreak/>
        <w:drawing>
          <wp:inline distT="0" distB="0" distL="0" distR="0" wp14:anchorId="65CC0444" wp14:editId="69C16644">
            <wp:extent cx="5940425" cy="3501390"/>
            <wp:effectExtent l="0" t="0" r="3175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0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A8AE667" wp14:editId="7FD5D677">
            <wp:extent cx="5940425" cy="312420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A66" w:rsidRDefault="00E62A66" w:rsidP="00E62A66">
      <w:r>
        <w:rPr>
          <w:noProof/>
          <w:lang w:eastAsia="ru-RU"/>
        </w:rPr>
        <w:lastRenderedPageBreak/>
        <w:drawing>
          <wp:inline distT="0" distB="0" distL="0" distR="0" wp14:anchorId="58D424A9" wp14:editId="1DE89006">
            <wp:extent cx="5940425" cy="3522345"/>
            <wp:effectExtent l="0" t="0" r="3175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2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9A14A97" wp14:editId="5B3778C3">
            <wp:extent cx="5940425" cy="1957070"/>
            <wp:effectExtent l="0" t="0" r="3175" b="508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5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A66" w:rsidRDefault="00E62A66" w:rsidP="00E62A66"/>
    <w:p w:rsidR="00E62A66" w:rsidRDefault="00E62A66" w:rsidP="00E62A66">
      <w:pPr>
        <w:jc w:val="center"/>
      </w:pPr>
      <w:r>
        <w:t>ПРИЛОЖЕНИЕ 1</w:t>
      </w:r>
    </w:p>
    <w:p w:rsidR="00E62A66" w:rsidRDefault="00E62A66" w:rsidP="00E62A66"/>
    <w:p w:rsidR="00E62A66" w:rsidRDefault="00E62A66" w:rsidP="00E62A66">
      <w:r w:rsidRPr="00E62A66">
        <w:rPr>
          <w:noProof/>
          <w:lang w:eastAsia="ru-RU"/>
        </w:rPr>
        <w:drawing>
          <wp:inline distT="0" distB="0" distL="0" distR="0">
            <wp:extent cx="5940425" cy="2126500"/>
            <wp:effectExtent l="0" t="0" r="3175" b="7620"/>
            <wp:docPr id="13" name="Рисунок 13" descr="C:\Users\admin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1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2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A66" w:rsidRDefault="00E62A66" w:rsidP="00E62A66"/>
    <w:p w:rsidR="00E62A66" w:rsidRDefault="00E62A66" w:rsidP="00E62A66">
      <w:r>
        <w:rPr>
          <w:noProof/>
          <w:lang w:eastAsia="ru-RU"/>
        </w:rPr>
        <w:lastRenderedPageBreak/>
        <w:drawing>
          <wp:inline distT="0" distB="0" distL="0" distR="0" wp14:anchorId="53A1582C" wp14:editId="73E7CCAE">
            <wp:extent cx="5940425" cy="4258945"/>
            <wp:effectExtent l="0" t="0" r="3175" b="825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5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A66" w:rsidRDefault="00E62A66" w:rsidP="00E62A66">
      <w:r>
        <w:rPr>
          <w:noProof/>
          <w:lang w:eastAsia="ru-RU"/>
        </w:rPr>
        <w:drawing>
          <wp:inline distT="0" distB="0" distL="0" distR="0" wp14:anchorId="612A4D82" wp14:editId="076D011B">
            <wp:extent cx="5940425" cy="397129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7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A66" w:rsidRDefault="00E62A66" w:rsidP="00E62A66">
      <w:r>
        <w:rPr>
          <w:noProof/>
          <w:lang w:eastAsia="ru-RU"/>
        </w:rPr>
        <w:drawing>
          <wp:inline distT="0" distB="0" distL="0" distR="0" wp14:anchorId="4B6ACBC1" wp14:editId="3415A38A">
            <wp:extent cx="5724525" cy="67627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A66" w:rsidRDefault="00E62A66" w:rsidP="00E62A66">
      <w:r>
        <w:rPr>
          <w:noProof/>
          <w:lang w:eastAsia="ru-RU"/>
        </w:rPr>
        <w:lastRenderedPageBreak/>
        <w:drawing>
          <wp:inline distT="0" distB="0" distL="0" distR="0" wp14:anchorId="5CEF1ECB" wp14:editId="670F94FA">
            <wp:extent cx="5940425" cy="5412105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1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DFC1AB7" wp14:editId="382E202A">
            <wp:extent cx="5940425" cy="5177790"/>
            <wp:effectExtent l="0" t="0" r="3175" b="381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7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853D1AE" wp14:editId="7F863BFD">
            <wp:extent cx="5940425" cy="5479415"/>
            <wp:effectExtent l="0" t="0" r="3175" b="698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7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A66" w:rsidRDefault="00E62A66" w:rsidP="00E62A66">
      <w:r>
        <w:rPr>
          <w:noProof/>
          <w:lang w:eastAsia="ru-RU"/>
        </w:rPr>
        <w:lastRenderedPageBreak/>
        <w:drawing>
          <wp:inline distT="0" distB="0" distL="0" distR="0" wp14:anchorId="383DF92D" wp14:editId="511404DB">
            <wp:extent cx="5940425" cy="5459730"/>
            <wp:effectExtent l="0" t="0" r="3175" b="762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5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89EC080" wp14:editId="69ED92C6">
            <wp:extent cx="5940425" cy="5522595"/>
            <wp:effectExtent l="0" t="0" r="3175" b="190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52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921B277" wp14:editId="20A4207E">
            <wp:extent cx="5940425" cy="5049520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4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A66" w:rsidRDefault="00E62A66" w:rsidP="00E62A66">
      <w:r>
        <w:rPr>
          <w:noProof/>
          <w:lang w:eastAsia="ru-RU"/>
        </w:rPr>
        <w:lastRenderedPageBreak/>
        <w:drawing>
          <wp:inline distT="0" distB="0" distL="0" distR="0" wp14:anchorId="11CCC1E4" wp14:editId="48C779B1">
            <wp:extent cx="5940425" cy="5433695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3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5F3668E" wp14:editId="2AB3706B">
            <wp:extent cx="5940425" cy="1398905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9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501" w:rsidRDefault="002B2501" w:rsidP="002B2501">
      <w:pPr>
        <w:jc w:val="center"/>
        <w:rPr>
          <w:b/>
        </w:rPr>
      </w:pPr>
    </w:p>
    <w:p w:rsidR="002B2501" w:rsidRDefault="002B2501" w:rsidP="002B2501">
      <w:pPr>
        <w:jc w:val="center"/>
        <w:rPr>
          <w:b/>
        </w:rPr>
      </w:pPr>
    </w:p>
    <w:p w:rsidR="002B2501" w:rsidRDefault="002B2501" w:rsidP="002B2501">
      <w:pPr>
        <w:jc w:val="center"/>
        <w:rPr>
          <w:b/>
        </w:rPr>
      </w:pPr>
    </w:p>
    <w:p w:rsidR="002B2501" w:rsidRDefault="002B2501" w:rsidP="002B2501">
      <w:pPr>
        <w:jc w:val="center"/>
        <w:rPr>
          <w:b/>
        </w:rPr>
      </w:pPr>
    </w:p>
    <w:p w:rsidR="002B2501" w:rsidRDefault="002B2501" w:rsidP="002B2501">
      <w:pPr>
        <w:jc w:val="center"/>
        <w:rPr>
          <w:b/>
        </w:rPr>
      </w:pPr>
    </w:p>
    <w:p w:rsidR="002B2501" w:rsidRDefault="002B2501" w:rsidP="002B2501">
      <w:pPr>
        <w:jc w:val="center"/>
        <w:rPr>
          <w:b/>
        </w:rPr>
      </w:pPr>
    </w:p>
    <w:p w:rsidR="002B2501" w:rsidRDefault="002B2501" w:rsidP="002B2501">
      <w:pPr>
        <w:jc w:val="center"/>
        <w:rPr>
          <w:b/>
        </w:rPr>
      </w:pPr>
    </w:p>
    <w:p w:rsidR="002B2501" w:rsidRDefault="002B2501" w:rsidP="002B2501">
      <w:pPr>
        <w:jc w:val="center"/>
        <w:rPr>
          <w:b/>
        </w:rPr>
      </w:pPr>
    </w:p>
    <w:p w:rsidR="00E62A66" w:rsidRPr="002B2501" w:rsidRDefault="00E62A66" w:rsidP="002B2501">
      <w:pPr>
        <w:jc w:val="center"/>
        <w:rPr>
          <w:b/>
        </w:rPr>
      </w:pPr>
      <w:bookmarkStart w:id="0" w:name="_GoBack"/>
      <w:bookmarkEnd w:id="0"/>
      <w:r w:rsidRPr="002B2501">
        <w:rPr>
          <w:b/>
        </w:rPr>
        <w:lastRenderedPageBreak/>
        <w:t>Список рекомендуемой литературы</w:t>
      </w:r>
    </w:p>
    <w:p w:rsidR="00E62A66" w:rsidRDefault="00E62A66" w:rsidP="00E62A66">
      <w:r>
        <w:t>Гражданский кодекс Российской Федерации. Ч.I.</w:t>
      </w:r>
    </w:p>
    <w:p w:rsidR="00E62A66" w:rsidRDefault="00E62A66" w:rsidP="00E62A66">
      <w:r>
        <w:t>Гражданский кодекс Российской Федерации. Ч.II.</w:t>
      </w:r>
    </w:p>
    <w:p w:rsidR="00E62A66" w:rsidRDefault="00E62A66" w:rsidP="00E62A66">
      <w:r>
        <w:t>О бухгалтерском учете. Федеральный закон от 21.11.96г. №129 ФЗ., 1996г.</w:t>
      </w:r>
    </w:p>
    <w:p w:rsidR="00E62A66" w:rsidRDefault="00E62A66" w:rsidP="00E62A66">
      <w:r>
        <w:t xml:space="preserve">План счетов бухгалтерского учета финансово-хозяйственной деятельности предприятия организаций и Инструкция по его применению. Утверждены приказом </w:t>
      </w:r>
      <w:proofErr w:type="gramStart"/>
      <w:r>
        <w:t>Минфина  РФ</w:t>
      </w:r>
      <w:proofErr w:type="gramEnd"/>
      <w:r>
        <w:t xml:space="preserve"> от 31.10.00.г. №94 н.</w:t>
      </w:r>
    </w:p>
    <w:p w:rsidR="00E62A66" w:rsidRDefault="00E62A66" w:rsidP="00E62A66">
      <w:r>
        <w:t>Бабаев Ю.А. Теория бухгалтерского учета: учебник для вузов. - М.: Аудит, ЮНИТИ, 2008. - 391с.</w:t>
      </w:r>
    </w:p>
    <w:p w:rsidR="00E62A66" w:rsidRDefault="00E62A66" w:rsidP="00E62A66">
      <w:r>
        <w:t xml:space="preserve">Богатая И.Н, </w:t>
      </w:r>
      <w:proofErr w:type="spellStart"/>
      <w:r>
        <w:t>Хаханова</w:t>
      </w:r>
      <w:proofErr w:type="spellEnd"/>
      <w:r>
        <w:t xml:space="preserve"> Н.Н. Бухгалтерский учет: учеб. пособие/ И.Н Богатая, Н.Н </w:t>
      </w:r>
      <w:proofErr w:type="spellStart"/>
      <w:r>
        <w:t>Хаханова</w:t>
      </w:r>
      <w:proofErr w:type="spellEnd"/>
      <w:r>
        <w:t xml:space="preserve"> - 4-е изд., </w:t>
      </w:r>
      <w:proofErr w:type="spellStart"/>
      <w:r>
        <w:t>перераб</w:t>
      </w:r>
      <w:proofErr w:type="spellEnd"/>
      <w:r>
        <w:t xml:space="preserve">. и доп.- Ростов н/Д: «Феникс», </w:t>
      </w:r>
      <w:proofErr w:type="gramStart"/>
      <w:r>
        <w:t>2007.-</w:t>
      </w:r>
      <w:proofErr w:type="gramEnd"/>
      <w:r>
        <w:t xml:space="preserve"> 858 с. (Серия «Высшее образование»).</w:t>
      </w:r>
    </w:p>
    <w:p w:rsidR="00E62A66" w:rsidRDefault="00E62A66" w:rsidP="00E62A66">
      <w:r>
        <w:t>Вещунов Н.Л., Фомина Л.Ф. Бухгалтерский учет: учеб. пособие/ Н.Л. Вещунов, Л.Ф. Фомина - М: Финансы и статистика, 2007. –  496 с.</w:t>
      </w:r>
    </w:p>
    <w:p w:rsidR="00E62A66" w:rsidRDefault="00E62A66" w:rsidP="00E62A66">
      <w:proofErr w:type="spellStart"/>
      <w:r>
        <w:t>Русалева</w:t>
      </w:r>
      <w:proofErr w:type="spellEnd"/>
      <w:r>
        <w:t xml:space="preserve"> Л.А., Богаченко М.В. Теория бухгалтерского учета: Учебник/ Л.А </w:t>
      </w:r>
      <w:proofErr w:type="spellStart"/>
      <w:proofErr w:type="gramStart"/>
      <w:r>
        <w:t>Русалева</w:t>
      </w:r>
      <w:proofErr w:type="spellEnd"/>
      <w:r>
        <w:t xml:space="preserve"> ,</w:t>
      </w:r>
      <w:proofErr w:type="gramEnd"/>
      <w:r>
        <w:t xml:space="preserve"> М.В. Богаченко–Ростов н/Д: «Феникс», 2008.- 448 с. (Серия «Высшее образование»).</w:t>
      </w:r>
    </w:p>
    <w:sectPr w:rsidR="00E62A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F96"/>
    <w:rsid w:val="002B2501"/>
    <w:rsid w:val="00530FF8"/>
    <w:rsid w:val="00E62A66"/>
    <w:rsid w:val="00EB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8B563"/>
  <w15:chartTrackingRefBased/>
  <w15:docId w15:val="{945165A7-F5ED-49FE-85F3-4EA5EC77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2A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E62A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62A6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62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tstup">
    <w:name w:val="otstup"/>
    <w:basedOn w:val="a"/>
    <w:rsid w:val="00E62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62A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1092</Words>
  <Characters>6226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2021-09-27T14:13:00Z</dcterms:created>
  <dcterms:modified xsi:type="dcterms:W3CDTF">2021-09-27T14:25:00Z</dcterms:modified>
</cp:coreProperties>
</file>